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756" w:rsidRPr="006E423F" w:rsidRDefault="00436F87" w:rsidP="00436F8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E423F">
        <w:rPr>
          <w:rFonts w:ascii="Times New Roman" w:hAnsi="Times New Roman" w:cs="Times New Roman"/>
          <w:sz w:val="24"/>
          <w:szCs w:val="24"/>
        </w:rPr>
        <w:t>Bioeconomic</w:t>
      </w:r>
      <w:proofErr w:type="spellEnd"/>
      <w:r w:rsidRPr="006E423F">
        <w:rPr>
          <w:rFonts w:ascii="Times New Roman" w:hAnsi="Times New Roman" w:cs="Times New Roman"/>
          <w:sz w:val="24"/>
          <w:szCs w:val="24"/>
        </w:rPr>
        <w:t xml:space="preserve"> profitability analysis of tropical gar grow out</w:t>
      </w:r>
    </w:p>
    <w:p w:rsidR="00436F87" w:rsidRPr="006E423F" w:rsidRDefault="00436F87" w:rsidP="00436F87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04756" w:rsidRPr="006E423F" w:rsidRDefault="00B04756" w:rsidP="00436F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E423F">
        <w:rPr>
          <w:rFonts w:ascii="Times New Roman" w:hAnsi="Times New Roman" w:cs="Times New Roman"/>
          <w:b/>
          <w:i/>
          <w:sz w:val="24"/>
          <w:szCs w:val="24"/>
        </w:rPr>
        <w:t>Atractosteus</w:t>
      </w:r>
      <w:proofErr w:type="spellEnd"/>
      <w:r w:rsidRPr="006E42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E423F">
        <w:rPr>
          <w:rFonts w:ascii="Times New Roman" w:hAnsi="Times New Roman" w:cs="Times New Roman"/>
          <w:b/>
          <w:i/>
          <w:sz w:val="24"/>
          <w:szCs w:val="24"/>
        </w:rPr>
        <w:t>tropicus</w:t>
      </w:r>
      <w:proofErr w:type="spellEnd"/>
      <w:r w:rsidRPr="006E42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423F">
        <w:rPr>
          <w:rFonts w:ascii="Times New Roman" w:hAnsi="Times New Roman" w:cs="Times New Roman"/>
          <w:b/>
          <w:sz w:val="24"/>
          <w:szCs w:val="24"/>
        </w:rPr>
        <w:t xml:space="preserve">grow out, </w:t>
      </w:r>
      <w:proofErr w:type="spellStart"/>
      <w:r w:rsidRPr="006E423F">
        <w:rPr>
          <w:rFonts w:ascii="Times New Roman" w:hAnsi="Times New Roman" w:cs="Times New Roman"/>
          <w:b/>
          <w:sz w:val="24"/>
          <w:szCs w:val="24"/>
        </w:rPr>
        <w:t>bioeconomic</w:t>
      </w:r>
      <w:proofErr w:type="spellEnd"/>
      <w:r w:rsidRPr="006E423F">
        <w:rPr>
          <w:rFonts w:ascii="Times New Roman" w:hAnsi="Times New Roman" w:cs="Times New Roman"/>
          <w:b/>
          <w:sz w:val="24"/>
          <w:szCs w:val="24"/>
        </w:rPr>
        <w:t xml:space="preserve"> profitability analysis using two commercial feeds</w:t>
      </w:r>
    </w:p>
    <w:p w:rsidR="00436F87" w:rsidRPr="006E423F" w:rsidRDefault="00436F87" w:rsidP="00436F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76E" w:rsidRPr="006E423F" w:rsidRDefault="0028176E" w:rsidP="00436F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23F">
        <w:rPr>
          <w:rFonts w:ascii="Times New Roman" w:hAnsi="Times New Roman" w:cs="Times New Roman"/>
          <w:sz w:val="24"/>
          <w:szCs w:val="24"/>
        </w:rPr>
        <w:t>David J. Palma-Cancino</w:t>
      </w:r>
      <w:r w:rsidR="00436F87" w:rsidRPr="006E423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36F87" w:rsidRPr="006E423F">
        <w:rPr>
          <w:rFonts w:ascii="Times New Roman" w:hAnsi="Times New Roman" w:cs="Times New Roman"/>
          <w:sz w:val="24"/>
          <w:szCs w:val="24"/>
        </w:rPr>
        <w:t>, Rafael Martinez-Garci</w:t>
      </w:r>
      <w:r w:rsidRPr="006E423F">
        <w:rPr>
          <w:rFonts w:ascii="Times New Roman" w:hAnsi="Times New Roman" w:cs="Times New Roman"/>
          <w:sz w:val="24"/>
          <w:szCs w:val="24"/>
        </w:rPr>
        <w:t>a</w:t>
      </w:r>
      <w:r w:rsidR="00436F87" w:rsidRPr="006E423F">
        <w:rPr>
          <w:rFonts w:ascii="Times New Roman" w:hAnsi="Times New Roman" w:cs="Times New Roman"/>
          <w:sz w:val="24"/>
          <w:szCs w:val="24"/>
          <w:vertAlign w:val="superscript"/>
        </w:rPr>
        <w:t>1*</w:t>
      </w:r>
      <w:r w:rsidRPr="006E423F">
        <w:rPr>
          <w:rFonts w:ascii="Times New Roman" w:hAnsi="Times New Roman" w:cs="Times New Roman"/>
          <w:sz w:val="24"/>
          <w:szCs w:val="24"/>
        </w:rPr>
        <w:t>, Carlos A. Álvarez-González</w:t>
      </w:r>
      <w:r w:rsidR="00436F87" w:rsidRPr="006E423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E423F">
        <w:rPr>
          <w:rFonts w:ascii="Times New Roman" w:hAnsi="Times New Roman" w:cs="Times New Roman"/>
          <w:sz w:val="24"/>
          <w:szCs w:val="24"/>
        </w:rPr>
        <w:t xml:space="preserve">, Ronald </w:t>
      </w:r>
      <w:proofErr w:type="spellStart"/>
      <w:r w:rsidRPr="006E423F">
        <w:rPr>
          <w:rFonts w:ascii="Times New Roman" w:hAnsi="Times New Roman" w:cs="Times New Roman"/>
          <w:sz w:val="24"/>
          <w:szCs w:val="24"/>
        </w:rPr>
        <w:t>Jesús</w:t>
      </w:r>
      <w:proofErr w:type="spellEnd"/>
      <w:r w:rsidRPr="006E423F">
        <w:rPr>
          <w:rFonts w:ascii="Times New Roman" w:hAnsi="Times New Roman" w:cs="Times New Roman"/>
          <w:sz w:val="24"/>
          <w:szCs w:val="24"/>
        </w:rPr>
        <w:t xml:space="preserve"> Contreras</w:t>
      </w:r>
      <w:r w:rsidR="00436F87" w:rsidRPr="006E423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E42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423F">
        <w:rPr>
          <w:rFonts w:ascii="Times New Roman" w:hAnsi="Times New Roman" w:cs="Times New Roman"/>
          <w:sz w:val="24"/>
          <w:szCs w:val="24"/>
        </w:rPr>
        <w:t>Eucario</w:t>
      </w:r>
      <w:proofErr w:type="spellEnd"/>
      <w:r w:rsidRPr="006E423F">
        <w:rPr>
          <w:rFonts w:ascii="Times New Roman" w:hAnsi="Times New Roman" w:cs="Times New Roman"/>
          <w:sz w:val="24"/>
          <w:szCs w:val="24"/>
        </w:rPr>
        <w:t xml:space="preserve"> Gasca-Leyva</w:t>
      </w:r>
      <w:r w:rsidR="00436F87" w:rsidRPr="006E423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36F87" w:rsidRPr="006E42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6F87" w:rsidRPr="006E423F">
        <w:rPr>
          <w:rFonts w:ascii="Times New Roman" w:hAnsi="Times New Roman" w:cs="Times New Roman"/>
          <w:sz w:val="24"/>
          <w:szCs w:val="24"/>
        </w:rPr>
        <w:t>Emyr</w:t>
      </w:r>
      <w:proofErr w:type="spellEnd"/>
      <w:r w:rsidR="00436F87" w:rsidRPr="006E423F">
        <w:rPr>
          <w:rFonts w:ascii="Times New Roman" w:hAnsi="Times New Roman" w:cs="Times New Roman"/>
          <w:sz w:val="24"/>
          <w:szCs w:val="24"/>
        </w:rPr>
        <w:t xml:space="preserve"> Peña</w:t>
      </w:r>
      <w:r w:rsidR="00436F87" w:rsidRPr="006E423F">
        <w:rPr>
          <w:rFonts w:ascii="Times New Roman" w:hAnsi="Times New Roman" w:cs="Times New Roman"/>
          <w:sz w:val="24"/>
          <w:szCs w:val="24"/>
          <w:vertAlign w:val="superscript"/>
        </w:rPr>
        <w:t>1,3</w:t>
      </w:r>
      <w:r w:rsidR="00436F87" w:rsidRPr="006E423F">
        <w:rPr>
          <w:rFonts w:ascii="Times New Roman" w:hAnsi="Times New Roman" w:cs="Times New Roman"/>
          <w:sz w:val="24"/>
          <w:szCs w:val="24"/>
        </w:rPr>
        <w:t>, Susana Camrillo-Coop</w:t>
      </w:r>
      <w:r w:rsidR="00436F87" w:rsidRPr="006E423F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28176E" w:rsidRPr="006E423F" w:rsidRDefault="0028176E" w:rsidP="00DA1A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6F87" w:rsidRPr="006E423F" w:rsidRDefault="00436F87" w:rsidP="00436F8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423F">
        <w:rPr>
          <w:rFonts w:ascii="Times New Roman" w:eastAsia="Times New Roman" w:hAnsi="Times New Roman" w:cs="Times New Roman"/>
          <w:sz w:val="24"/>
          <w:szCs w:val="24"/>
          <w:vertAlign w:val="superscript"/>
          <w:lang w:val="es-MX" w:eastAsia="es-ES"/>
        </w:rPr>
        <w:t>1</w:t>
      </w:r>
      <w:r w:rsidRPr="006E423F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Laboratorio de Acuicultura Tropical DACBIOL-UJAT, Carretera Villahermosa-Cárdenas km 0.5, C.P. 86039, Villahermosa, Tabasco, </w:t>
      </w:r>
      <w:proofErr w:type="spellStart"/>
      <w:r w:rsidRPr="006E423F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Mexico</w:t>
      </w:r>
      <w:proofErr w:type="spellEnd"/>
      <w:r w:rsidRPr="006E423F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. </w:t>
      </w:r>
      <w:r w:rsidRPr="006E42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+52 1(993)3581500 </w:t>
      </w:r>
      <w:proofErr w:type="spellStart"/>
      <w:r w:rsidRPr="006E423F">
        <w:rPr>
          <w:rFonts w:ascii="Times New Roman" w:eastAsia="Times New Roman" w:hAnsi="Times New Roman" w:cs="Times New Roman"/>
          <w:sz w:val="24"/>
          <w:szCs w:val="24"/>
          <w:lang w:eastAsia="es-ES"/>
        </w:rPr>
        <w:t>ext</w:t>
      </w:r>
      <w:proofErr w:type="spellEnd"/>
      <w:r w:rsidRPr="006E42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6427, *Corresponding author: biologomartinez@hotmail.com</w:t>
      </w:r>
    </w:p>
    <w:p w:rsidR="0028176E" w:rsidRPr="006E423F" w:rsidRDefault="00436F87" w:rsidP="00436F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23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8176E" w:rsidRPr="006E423F">
        <w:rPr>
          <w:rFonts w:ascii="Times New Roman" w:hAnsi="Times New Roman" w:cs="Times New Roman"/>
          <w:sz w:val="24"/>
          <w:szCs w:val="24"/>
        </w:rPr>
        <w:t xml:space="preserve">CINVESTAV-IPN, </w:t>
      </w:r>
      <w:proofErr w:type="spellStart"/>
      <w:r w:rsidR="0028176E" w:rsidRPr="006E423F">
        <w:rPr>
          <w:rFonts w:ascii="Times New Roman" w:hAnsi="Times New Roman" w:cs="Times New Roman"/>
          <w:sz w:val="24"/>
          <w:szCs w:val="24"/>
        </w:rPr>
        <w:t>Unidad</w:t>
      </w:r>
      <w:proofErr w:type="spellEnd"/>
      <w:r w:rsidR="0028176E" w:rsidRPr="006E423F">
        <w:rPr>
          <w:rFonts w:ascii="Times New Roman" w:hAnsi="Times New Roman" w:cs="Times New Roman"/>
          <w:sz w:val="24"/>
          <w:szCs w:val="24"/>
        </w:rPr>
        <w:t xml:space="preserve"> Mérida,</w:t>
      </w:r>
      <w:r w:rsidRPr="006E423F">
        <w:t xml:space="preserve"> </w:t>
      </w:r>
      <w:r w:rsidRPr="006E423F">
        <w:rPr>
          <w:rFonts w:ascii="Times New Roman" w:hAnsi="Times New Roman" w:cs="Times New Roman"/>
          <w:sz w:val="24"/>
          <w:szCs w:val="24"/>
        </w:rPr>
        <w:t xml:space="preserve">Km 6 </w:t>
      </w:r>
      <w:proofErr w:type="spellStart"/>
      <w:r w:rsidRPr="006E423F">
        <w:rPr>
          <w:rFonts w:ascii="Times New Roman" w:hAnsi="Times New Roman" w:cs="Times New Roman"/>
          <w:sz w:val="24"/>
          <w:szCs w:val="24"/>
        </w:rPr>
        <w:t>antigua</w:t>
      </w:r>
      <w:proofErr w:type="spellEnd"/>
      <w:r w:rsidRPr="006E42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423F">
        <w:rPr>
          <w:rFonts w:ascii="Times New Roman" w:hAnsi="Times New Roman" w:cs="Times New Roman"/>
          <w:sz w:val="24"/>
          <w:szCs w:val="24"/>
        </w:rPr>
        <w:t>Carr</w:t>
      </w:r>
      <w:proofErr w:type="spellEnd"/>
      <w:r w:rsidRPr="006E423F">
        <w:rPr>
          <w:rFonts w:ascii="Times New Roman" w:hAnsi="Times New Roman" w:cs="Times New Roman"/>
          <w:sz w:val="24"/>
          <w:szCs w:val="24"/>
        </w:rPr>
        <w:t xml:space="preserve">. Mérida - </w:t>
      </w:r>
      <w:proofErr w:type="spellStart"/>
      <w:r w:rsidRPr="006E423F">
        <w:rPr>
          <w:rFonts w:ascii="Times New Roman" w:hAnsi="Times New Roman" w:cs="Times New Roman"/>
          <w:sz w:val="24"/>
          <w:szCs w:val="24"/>
        </w:rPr>
        <w:t>Progreso</w:t>
      </w:r>
      <w:proofErr w:type="spellEnd"/>
      <w:r w:rsidRPr="006E423F">
        <w:rPr>
          <w:rFonts w:ascii="Times New Roman" w:hAnsi="Times New Roman" w:cs="Times New Roman"/>
          <w:sz w:val="24"/>
          <w:szCs w:val="24"/>
        </w:rPr>
        <w:t xml:space="preserve">, Loma Bonita, 97310 </w:t>
      </w:r>
      <w:r w:rsidR="0028176E" w:rsidRPr="006E423F">
        <w:rPr>
          <w:rFonts w:ascii="Times New Roman" w:hAnsi="Times New Roman" w:cs="Times New Roman"/>
          <w:sz w:val="24"/>
          <w:szCs w:val="24"/>
        </w:rPr>
        <w:t>Mérida, Yucatán, México.</w:t>
      </w:r>
    </w:p>
    <w:p w:rsidR="00436F87" w:rsidRPr="006E423F" w:rsidRDefault="00436F87" w:rsidP="00436F8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423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s-ES"/>
        </w:rPr>
        <w:t>3</w:t>
      </w:r>
      <w:r w:rsidRPr="006E42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Cátedra </w:t>
      </w:r>
      <w:proofErr w:type="spellStart"/>
      <w:r w:rsidRPr="006E423F">
        <w:rPr>
          <w:rFonts w:ascii="Times New Roman" w:eastAsia="Times New Roman" w:hAnsi="Times New Roman" w:cs="Times New Roman"/>
          <w:sz w:val="24"/>
          <w:szCs w:val="24"/>
          <w:lang w:eastAsia="es-ES"/>
        </w:rPr>
        <w:t>CONACyT</w:t>
      </w:r>
      <w:proofErr w:type="spellEnd"/>
    </w:p>
    <w:p w:rsidR="00D138BC" w:rsidRPr="006E423F" w:rsidRDefault="00D138BC" w:rsidP="00436F87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8176E" w:rsidRPr="006E423F" w:rsidRDefault="00D138BC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423F">
        <w:rPr>
          <w:rFonts w:ascii="Times New Roman" w:hAnsi="Times New Roman" w:cs="Times New Roman"/>
          <w:b/>
          <w:sz w:val="24"/>
          <w:szCs w:val="24"/>
        </w:rPr>
        <w:t xml:space="preserve">ABSTRACT. </w:t>
      </w:r>
      <w:r w:rsidR="0028176E" w:rsidRPr="006E423F">
        <w:rPr>
          <w:rFonts w:ascii="Times New Roman" w:hAnsi="Times New Roman" w:cs="Times New Roman"/>
          <w:sz w:val="24"/>
          <w:szCs w:val="24"/>
        </w:rPr>
        <w:t>Tropical gar (</w:t>
      </w:r>
      <w:proofErr w:type="spellStart"/>
      <w:r w:rsidR="0028176E" w:rsidRPr="006E423F">
        <w:rPr>
          <w:rFonts w:ascii="Times New Roman" w:hAnsi="Times New Roman" w:cs="Times New Roman"/>
          <w:i/>
          <w:sz w:val="24"/>
          <w:szCs w:val="24"/>
        </w:rPr>
        <w:t>Atractosteus</w:t>
      </w:r>
      <w:proofErr w:type="spellEnd"/>
      <w:r w:rsidR="0028176E" w:rsidRPr="006E42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8176E" w:rsidRPr="006E423F">
        <w:rPr>
          <w:rFonts w:ascii="Times New Roman" w:hAnsi="Times New Roman" w:cs="Times New Roman"/>
          <w:i/>
          <w:sz w:val="24"/>
          <w:szCs w:val="24"/>
        </w:rPr>
        <w:t>tropicus</w:t>
      </w:r>
      <w:proofErr w:type="spellEnd"/>
      <w:r w:rsidR="0028176E" w:rsidRPr="006E423F">
        <w:rPr>
          <w:rFonts w:ascii="Times New Roman" w:hAnsi="Times New Roman" w:cs="Times New Roman"/>
          <w:i/>
          <w:sz w:val="24"/>
          <w:szCs w:val="24"/>
        </w:rPr>
        <w:t>)</w:t>
      </w:r>
      <w:r w:rsidR="0028176E" w:rsidRPr="006E423F">
        <w:rPr>
          <w:rFonts w:ascii="Times New Roman" w:hAnsi="Times New Roman" w:cs="Times New Roman"/>
          <w:sz w:val="24"/>
          <w:szCs w:val="24"/>
        </w:rPr>
        <w:t xml:space="preserve"> aquaculture is a potential economy activity in Southeast Mexico. This publication </w:t>
      </w:r>
      <w:r w:rsidRPr="006E423F">
        <w:rPr>
          <w:rFonts w:ascii="Times New Roman" w:hAnsi="Times New Roman" w:cs="Times New Roman"/>
          <w:sz w:val="24"/>
          <w:szCs w:val="24"/>
        </w:rPr>
        <w:t>analyzed tropical gar</w:t>
      </w:r>
      <w:r w:rsidR="0028176E" w:rsidRPr="006E423F">
        <w:rPr>
          <w:rFonts w:ascii="Times New Roman" w:hAnsi="Times New Roman" w:cs="Times New Roman"/>
          <w:sz w:val="24"/>
          <w:szCs w:val="24"/>
        </w:rPr>
        <w:t xml:space="preserve"> grow-out using two feeds Silver Cup® and </w:t>
      </w:r>
      <w:r w:rsidR="002332E8" w:rsidRPr="006E423F">
        <w:rPr>
          <w:rFonts w:ascii="Times New Roman" w:hAnsi="Times New Roman" w:cs="Times New Roman"/>
          <w:sz w:val="24"/>
          <w:szCs w:val="24"/>
        </w:rPr>
        <w:t>Super</w:t>
      </w:r>
      <w:r w:rsidR="0028176E" w:rsidRPr="006E423F">
        <w:rPr>
          <w:rFonts w:ascii="Times New Roman" w:hAnsi="Times New Roman" w:cs="Times New Roman"/>
          <w:sz w:val="24"/>
          <w:szCs w:val="24"/>
        </w:rPr>
        <w:t>®. Last one designed based on the digestive physiology of the specie. With the aim of calculate the economic profitability of the two feeds, six concrete ponds of 4 m</w:t>
      </w:r>
      <w:r w:rsidR="0028176E" w:rsidRPr="006E423F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28176E" w:rsidRPr="006E423F">
        <w:rPr>
          <w:rFonts w:ascii="Times New Roman" w:hAnsi="Times New Roman" w:cs="Times New Roman"/>
          <w:sz w:val="24"/>
          <w:szCs w:val="24"/>
        </w:rPr>
        <w:t>(two treatments with three replicates), in each were placed 40 juveniles with an initial average weight and size of 104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</m:oMath>
      <w:r w:rsidR="0028176E" w:rsidRPr="006E423F">
        <w:rPr>
          <w:rFonts w:ascii="Times New Roman" w:hAnsi="Times New Roman" w:cs="Times New Roman"/>
          <w:sz w:val="24"/>
          <w:szCs w:val="24"/>
        </w:rPr>
        <w:t>10 g 27.7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</m:oMath>
      <w:r w:rsidR="0028176E" w:rsidRPr="006E423F">
        <w:rPr>
          <w:rFonts w:ascii="Times New Roman" w:hAnsi="Times New Roman" w:cs="Times New Roman"/>
          <w:sz w:val="24"/>
          <w:szCs w:val="24"/>
        </w:rPr>
        <w:t>0.88 cm. Trial lasted 210 days, at the end, there were statistics differences (P&lt;0.05) among treatments, fish fed with Silver Cup® obtained a final average weight and size of 450.29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</m:oMath>
      <w:r w:rsidR="0028176E" w:rsidRPr="006E423F">
        <w:rPr>
          <w:rFonts w:ascii="Times New Roman" w:hAnsi="Times New Roman" w:cs="Times New Roman"/>
          <w:sz w:val="24"/>
          <w:szCs w:val="24"/>
        </w:rPr>
        <w:t>5.36 g and 41.7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</m:oMath>
      <w:r w:rsidR="0028176E" w:rsidRPr="006E423F">
        <w:rPr>
          <w:rFonts w:ascii="Times New Roman" w:hAnsi="Times New Roman" w:cs="Times New Roman"/>
          <w:sz w:val="24"/>
          <w:szCs w:val="24"/>
        </w:rPr>
        <w:t xml:space="preserve">1.81 cm, and for </w:t>
      </w:r>
      <w:r w:rsidR="002332E8">
        <w:rPr>
          <w:rFonts w:ascii="Times New Roman" w:hAnsi="Times New Roman" w:cs="Times New Roman"/>
          <w:sz w:val="24"/>
          <w:szCs w:val="24"/>
        </w:rPr>
        <w:t xml:space="preserve">Super® </w:t>
      </w:r>
      <w:r w:rsidR="0028176E" w:rsidRPr="006E423F">
        <w:rPr>
          <w:rFonts w:ascii="Times New Roman" w:hAnsi="Times New Roman" w:cs="Times New Roman"/>
          <w:sz w:val="24"/>
          <w:szCs w:val="24"/>
        </w:rPr>
        <w:t>a final average weight and size of 415.05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</m:oMath>
      <w:r w:rsidR="0028176E" w:rsidRPr="006E423F">
        <w:rPr>
          <w:rFonts w:ascii="Times New Roman" w:hAnsi="Times New Roman" w:cs="Times New Roman"/>
          <w:sz w:val="24"/>
          <w:szCs w:val="24"/>
        </w:rPr>
        <w:t>5.38 g and 41.4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</m:oMath>
      <w:r w:rsidR="0028176E" w:rsidRPr="006E423F">
        <w:rPr>
          <w:rFonts w:ascii="Times New Roman" w:hAnsi="Times New Roman" w:cs="Times New Roman"/>
          <w:sz w:val="24"/>
          <w:szCs w:val="24"/>
        </w:rPr>
        <w:t>1.57 cm. Proximal analysis</w:t>
      </w:r>
      <w:r w:rsidRPr="006E423F">
        <w:rPr>
          <w:rFonts w:ascii="Times New Roman" w:hAnsi="Times New Roman" w:cs="Times New Roman"/>
          <w:sz w:val="24"/>
          <w:szCs w:val="24"/>
        </w:rPr>
        <w:t xml:space="preserve"> indicated a better protein content and less lipids in fish fed with </w:t>
      </w:r>
      <w:r w:rsidR="002332E8" w:rsidRPr="006E423F">
        <w:rPr>
          <w:rFonts w:ascii="Times New Roman" w:hAnsi="Times New Roman" w:cs="Times New Roman"/>
          <w:sz w:val="24"/>
          <w:szCs w:val="24"/>
        </w:rPr>
        <w:t>Super</w:t>
      </w:r>
      <w:r w:rsidRPr="006E423F">
        <w:rPr>
          <w:rFonts w:ascii="Times New Roman" w:hAnsi="Times New Roman" w:cs="Times New Roman"/>
          <w:sz w:val="24"/>
          <w:szCs w:val="24"/>
        </w:rPr>
        <w:t xml:space="preserve">®. </w:t>
      </w:r>
      <w:r w:rsidR="0028176E" w:rsidRPr="006E423F">
        <w:rPr>
          <w:rFonts w:ascii="Times New Roman" w:hAnsi="Times New Roman" w:cs="Times New Roman"/>
          <w:sz w:val="24"/>
          <w:szCs w:val="24"/>
        </w:rPr>
        <w:t>The profitability for Silver Cup® were</w:t>
      </w:r>
      <w:r w:rsidR="002332E8">
        <w:rPr>
          <w:rFonts w:ascii="Times New Roman" w:hAnsi="Times New Roman" w:cs="Times New Roman"/>
          <w:sz w:val="24"/>
          <w:szCs w:val="24"/>
        </w:rPr>
        <w:t xml:space="preserve"> NPV= 55 332.63 USD, C/B= 1.5 USD and IRR= 48.38%, while for </w:t>
      </w:r>
      <w:r w:rsidR="002332E8">
        <w:rPr>
          <w:rFonts w:ascii="Times New Roman" w:eastAsiaTheme="minorEastAsia" w:hAnsi="Times New Roman" w:cs="Times New Roman"/>
          <w:sz w:val="24"/>
          <w:szCs w:val="24"/>
        </w:rPr>
        <w:t>Su</w:t>
      </w:r>
      <w:r w:rsidR="002332E8" w:rsidRPr="006E423F">
        <w:rPr>
          <w:rFonts w:ascii="Times New Roman" w:eastAsiaTheme="minorEastAsia" w:hAnsi="Times New Roman" w:cs="Times New Roman"/>
          <w:sz w:val="24"/>
          <w:szCs w:val="24"/>
        </w:rPr>
        <w:t>per</w:t>
      </w:r>
      <w:r w:rsidR="002332E8" w:rsidRPr="006E423F">
        <w:rPr>
          <w:rFonts w:ascii="Times New Roman" w:hAnsi="Times New Roman" w:cs="Times New Roman"/>
          <w:sz w:val="24"/>
          <w:szCs w:val="24"/>
        </w:rPr>
        <w:t xml:space="preserve">® </w:t>
      </w:r>
      <w:r w:rsidR="002332E8">
        <w:rPr>
          <w:rFonts w:ascii="Times New Roman" w:eastAsiaTheme="minorEastAsia" w:hAnsi="Times New Roman" w:cs="Times New Roman"/>
          <w:sz w:val="24"/>
          <w:szCs w:val="24"/>
        </w:rPr>
        <w:t>was NPV= 50 852.28 USD, C/B= 1.49 USD and IRR= 47.03%.</w:t>
      </w:r>
      <w:r w:rsidR="0028176E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In conclusion is considered that both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>grow-out</w:t>
      </w:r>
      <w:r w:rsidR="0028176E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methods are profitable, although there is a better nutritional value and less production cost using </w:t>
      </w:r>
      <w:r w:rsidR="002332E8" w:rsidRPr="006E423F">
        <w:rPr>
          <w:rFonts w:ascii="Times New Roman" w:eastAsiaTheme="minorEastAsia" w:hAnsi="Times New Roman" w:cs="Times New Roman"/>
          <w:sz w:val="24"/>
          <w:szCs w:val="24"/>
        </w:rPr>
        <w:t>Super</w:t>
      </w:r>
      <w:r w:rsidR="0028176E" w:rsidRPr="006E423F">
        <w:rPr>
          <w:rFonts w:ascii="Times New Roman" w:eastAsiaTheme="minorEastAsia" w:hAnsi="Times New Roman" w:cs="Times New Roman"/>
          <w:sz w:val="24"/>
          <w:szCs w:val="24"/>
        </w:rPr>
        <w:t>® feed.</w:t>
      </w:r>
    </w:p>
    <w:p w:rsidR="00FC3429" w:rsidRPr="006E423F" w:rsidRDefault="00FC3429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C3429" w:rsidRPr="006E423F" w:rsidRDefault="00FC3429" w:rsidP="00FC34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E423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Key words</w:t>
      </w:r>
      <w:r w:rsidRPr="006E423F">
        <w:rPr>
          <w:rFonts w:ascii="Times New Roman" w:eastAsia="Times New Roman" w:hAnsi="Times New Roman" w:cs="Times New Roman"/>
          <w:sz w:val="24"/>
          <w:szCs w:val="24"/>
          <w:lang w:eastAsia="es-ES"/>
        </w:rPr>
        <w:t>: tropical gar grow-out,</w:t>
      </w:r>
      <w:r w:rsidR="00D423EB" w:rsidRPr="006E42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NPV, IRR, </w:t>
      </w:r>
      <w:proofErr w:type="spellStart"/>
      <w:r w:rsidR="00D423EB" w:rsidRPr="006E423F">
        <w:rPr>
          <w:rFonts w:ascii="Times New Roman" w:eastAsia="Times New Roman" w:hAnsi="Times New Roman" w:cs="Times New Roman"/>
          <w:sz w:val="24"/>
          <w:szCs w:val="24"/>
          <w:lang w:eastAsia="es-ES"/>
        </w:rPr>
        <w:t>bioeconomic</w:t>
      </w:r>
      <w:proofErr w:type="spellEnd"/>
      <w:r w:rsidR="00D423EB" w:rsidRPr="006E423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profitability analysis</w:t>
      </w:r>
    </w:p>
    <w:p w:rsidR="00566EAF" w:rsidRPr="006E423F" w:rsidRDefault="00566EAF" w:rsidP="00FC34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66EAF" w:rsidRPr="006E423F" w:rsidRDefault="00566EAF" w:rsidP="00FC34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C3429" w:rsidRPr="006E423F" w:rsidRDefault="00566EAF" w:rsidP="00566EAF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6E423F">
        <w:rPr>
          <w:rFonts w:ascii="Times New Roman" w:hAnsi="Times New Roman" w:cs="Times New Roman"/>
          <w:b/>
          <w:sz w:val="24"/>
          <w:szCs w:val="24"/>
        </w:rPr>
        <w:lastRenderedPageBreak/>
        <w:t>Engorda</w:t>
      </w:r>
      <w:proofErr w:type="spellEnd"/>
      <w:r w:rsidRPr="006E423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6E423F">
        <w:rPr>
          <w:rFonts w:ascii="Times New Roman" w:hAnsi="Times New Roman" w:cs="Times New Roman"/>
          <w:b/>
          <w:i/>
          <w:sz w:val="24"/>
          <w:szCs w:val="24"/>
        </w:rPr>
        <w:t>Atractosteus</w:t>
      </w:r>
      <w:proofErr w:type="spellEnd"/>
      <w:r w:rsidRPr="006E42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E423F">
        <w:rPr>
          <w:rFonts w:ascii="Times New Roman" w:hAnsi="Times New Roman" w:cs="Times New Roman"/>
          <w:b/>
          <w:i/>
          <w:sz w:val="24"/>
          <w:szCs w:val="24"/>
        </w:rPr>
        <w:t>tropicus</w:t>
      </w:r>
      <w:proofErr w:type="spellEnd"/>
      <w:r w:rsidRPr="006E423F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6E423F">
        <w:rPr>
          <w:rFonts w:ascii="Times New Roman" w:hAnsi="Times New Roman" w:cs="Times New Roman"/>
          <w:b/>
          <w:sz w:val="24"/>
          <w:szCs w:val="24"/>
        </w:rPr>
        <w:t>análisis</w:t>
      </w:r>
      <w:proofErr w:type="spellEnd"/>
      <w:r w:rsidRPr="006E423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6E423F">
        <w:rPr>
          <w:rFonts w:ascii="Times New Roman" w:hAnsi="Times New Roman" w:cs="Times New Roman"/>
          <w:b/>
          <w:sz w:val="24"/>
          <w:szCs w:val="24"/>
        </w:rPr>
        <w:t>rentabilidad</w:t>
      </w:r>
      <w:proofErr w:type="spellEnd"/>
      <w:r w:rsidRPr="006E42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423F">
        <w:rPr>
          <w:rFonts w:ascii="Times New Roman" w:hAnsi="Times New Roman" w:cs="Times New Roman"/>
          <w:b/>
          <w:sz w:val="24"/>
          <w:szCs w:val="24"/>
        </w:rPr>
        <w:t>bioeconomica</w:t>
      </w:r>
      <w:proofErr w:type="spellEnd"/>
      <w:r w:rsidRPr="006E42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423F">
        <w:rPr>
          <w:rFonts w:ascii="Times New Roman" w:hAnsi="Times New Roman" w:cs="Times New Roman"/>
          <w:b/>
          <w:sz w:val="24"/>
          <w:szCs w:val="24"/>
        </w:rPr>
        <w:t>utilizando</w:t>
      </w:r>
      <w:proofErr w:type="spellEnd"/>
      <w:r w:rsidRPr="006E423F">
        <w:rPr>
          <w:rFonts w:ascii="Times New Roman" w:hAnsi="Times New Roman" w:cs="Times New Roman"/>
          <w:b/>
          <w:sz w:val="24"/>
          <w:szCs w:val="24"/>
        </w:rPr>
        <w:t xml:space="preserve"> dos </w:t>
      </w:r>
      <w:proofErr w:type="spellStart"/>
      <w:r w:rsidRPr="006E423F">
        <w:rPr>
          <w:rFonts w:ascii="Times New Roman" w:hAnsi="Times New Roman" w:cs="Times New Roman"/>
          <w:b/>
          <w:sz w:val="24"/>
          <w:szCs w:val="24"/>
        </w:rPr>
        <w:t>alimentos</w:t>
      </w:r>
      <w:proofErr w:type="spellEnd"/>
      <w:r w:rsidRPr="006E42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423F">
        <w:rPr>
          <w:rFonts w:ascii="Times New Roman" w:hAnsi="Times New Roman" w:cs="Times New Roman"/>
          <w:b/>
          <w:sz w:val="24"/>
          <w:szCs w:val="24"/>
        </w:rPr>
        <w:t>comerciales</w:t>
      </w:r>
      <w:proofErr w:type="spellEnd"/>
      <w:r w:rsidRPr="006E423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3429" w:rsidRPr="006E423F" w:rsidRDefault="00FC3429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070845" w:rsidRPr="006E423F" w:rsidRDefault="00566EAF" w:rsidP="00C429A7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b/>
          <w:sz w:val="24"/>
          <w:szCs w:val="24"/>
        </w:rPr>
        <w:t>RESUMEN.</w:t>
      </w:r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La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acuicultura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de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pejelagarto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spellStart"/>
      <w:r w:rsidR="00070845" w:rsidRPr="006E423F">
        <w:rPr>
          <w:rFonts w:ascii="Times New Roman" w:eastAsiaTheme="minorEastAsia" w:hAnsi="Times New Roman" w:cs="Times New Roman"/>
          <w:i/>
          <w:sz w:val="24"/>
          <w:szCs w:val="24"/>
        </w:rPr>
        <w:t>Atractosteus</w:t>
      </w:r>
      <w:proofErr w:type="spellEnd"/>
      <w:r w:rsidR="00070845" w:rsidRPr="006E423F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proofErr w:type="spellStart"/>
      <w:r w:rsidR="00070845" w:rsidRPr="006E423F">
        <w:rPr>
          <w:rFonts w:ascii="Times New Roman" w:eastAsiaTheme="minorEastAsia" w:hAnsi="Times New Roman" w:cs="Times New Roman"/>
          <w:i/>
          <w:sz w:val="24"/>
          <w:szCs w:val="24"/>
        </w:rPr>
        <w:t>tropicus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es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una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actividad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económica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con alto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potencial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en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el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Sureste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de México.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En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este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artículo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se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analiza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el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cultivo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de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pejelagarto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comparando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los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alimentos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comerciales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Silver Cup® y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Súper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®. Este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último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diseñado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en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base a la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fisiología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digestiva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de la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especie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. Con la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finalidad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de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analizar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la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rentabilidad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económica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para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ambas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dietas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, se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utilizaron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seis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estanques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de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concreto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de 4 m</w:t>
      </w:r>
      <w:r w:rsidR="00070845" w:rsidRPr="006E423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(dos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tratamientos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con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tres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repeticiones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), con 40 juveniles de peso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promedio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104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±</m:t>
        </m:r>
      </m:oMath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10 g y talla 27.7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±</m:t>
        </m:r>
      </m:oMath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0.88 cm. </w:t>
      </w:r>
      <w:r w:rsidR="00070845" w:rsidRPr="002332E8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El ensayo duró 210 días, obteniéndose diferencias significativas (P&lt;0.05) entre los tratamientos para el peso y talla, los peces alimentados con </w:t>
      </w:r>
      <w:proofErr w:type="spellStart"/>
      <w:r w:rsidR="00070845" w:rsidRPr="002332E8">
        <w:rPr>
          <w:rFonts w:ascii="Times New Roman" w:eastAsiaTheme="minorEastAsia" w:hAnsi="Times New Roman" w:cs="Times New Roman"/>
          <w:sz w:val="24"/>
          <w:szCs w:val="24"/>
          <w:lang w:val="es-MX"/>
        </w:rPr>
        <w:t>Silver</w:t>
      </w:r>
      <w:proofErr w:type="spellEnd"/>
      <w:r w:rsidR="00070845" w:rsidRPr="002332E8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Cup® obtuvieron en promedio un peso de 450.29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s-MX"/>
          </w:rPr>
          <m:t>±</m:t>
        </m:r>
      </m:oMath>
      <w:r w:rsidR="00070845" w:rsidRPr="002332E8">
        <w:rPr>
          <w:rFonts w:ascii="Times New Roman" w:eastAsiaTheme="minorEastAsia" w:hAnsi="Times New Roman" w:cs="Times New Roman"/>
          <w:sz w:val="24"/>
          <w:szCs w:val="24"/>
          <w:lang w:val="es-MX"/>
        </w:rPr>
        <w:t>5.36 g y 41.7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s-MX"/>
          </w:rPr>
          <m:t>±</m:t>
        </m:r>
      </m:oMath>
      <w:r w:rsidR="00070845" w:rsidRPr="002332E8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1.81 cm de talla, mientras que con </w:t>
      </w:r>
      <w:proofErr w:type="spellStart"/>
      <w:r w:rsidR="002332E8" w:rsidRPr="002332E8">
        <w:rPr>
          <w:rFonts w:ascii="Times New Roman" w:eastAsiaTheme="minorEastAsia" w:hAnsi="Times New Roman" w:cs="Times New Roman"/>
          <w:sz w:val="24"/>
          <w:szCs w:val="24"/>
          <w:lang w:val="es-MX"/>
        </w:rPr>
        <w:t>Super</w:t>
      </w:r>
      <w:proofErr w:type="spellEnd"/>
      <w:r w:rsidR="002332E8" w:rsidRPr="002332E8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® </w:t>
      </w:r>
      <w:r w:rsidR="00070845" w:rsidRPr="002332E8">
        <w:rPr>
          <w:rFonts w:ascii="Times New Roman" w:eastAsiaTheme="minorEastAsia" w:hAnsi="Times New Roman" w:cs="Times New Roman"/>
          <w:sz w:val="24"/>
          <w:szCs w:val="24"/>
          <w:lang w:val="es-MX"/>
        </w:rPr>
        <w:t>alcanzaron 415.05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s-MX"/>
          </w:rPr>
          <m:t>±</m:t>
        </m:r>
      </m:oMath>
      <w:r w:rsidR="00070845" w:rsidRPr="002332E8">
        <w:rPr>
          <w:rFonts w:ascii="Times New Roman" w:eastAsiaTheme="minorEastAsia" w:hAnsi="Times New Roman" w:cs="Times New Roman"/>
          <w:sz w:val="24"/>
          <w:szCs w:val="24"/>
          <w:lang w:val="es-MX"/>
        </w:rPr>
        <w:t>5.38 g y 41.4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s-MX"/>
          </w:rPr>
          <m:t>±</m:t>
        </m:r>
      </m:oMath>
      <w:r w:rsidR="00070845" w:rsidRPr="002332E8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1.57 cm en peso y talla respectivamente. </w:t>
      </w:r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Los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análisis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químicos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proximal indicaron un mayor contenido de proteínas y menor de lípidos en los peces ali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mentados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con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Súper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®. El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análisis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de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rentabilidad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para Silver Cup®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determinó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un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VPN=55,332.63 USD</m:t>
        </m:r>
      </m:oMath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=1.5 USD</m:t>
        </m:r>
      </m:oMath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y una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TIR=48.38%</m:t>
        </m:r>
      </m:oMath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mientras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para </w:t>
      </w:r>
      <w:r w:rsidR="002332E8">
        <w:rPr>
          <w:rFonts w:ascii="Times New Roman" w:eastAsiaTheme="minorEastAsia" w:hAnsi="Times New Roman" w:cs="Times New Roman"/>
          <w:sz w:val="24"/>
          <w:szCs w:val="24"/>
        </w:rPr>
        <w:t xml:space="preserve">Super® </w:t>
      </w:r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se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obtuvo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un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VPN=50,825.28 USD</m:t>
        </m:r>
      </m:oMath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=1.49 USD</m:t>
        </m:r>
      </m:oMath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y una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TIR=47.03%</m:t>
        </m:r>
      </m:oMath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. Se concluye que am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bos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métodos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son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económicamente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rentables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aunque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se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observaron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mejores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valores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nutricionales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y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menores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costos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de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producción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utilizando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la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dieta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Súper</w:t>
      </w:r>
      <w:proofErr w:type="spellEnd"/>
      <w:r w:rsidR="00070845" w:rsidRPr="006E423F">
        <w:rPr>
          <w:rFonts w:ascii="Times New Roman" w:eastAsiaTheme="minorEastAsia" w:hAnsi="Times New Roman" w:cs="Times New Roman"/>
          <w:sz w:val="24"/>
          <w:szCs w:val="24"/>
        </w:rPr>
        <w:t>®.</w:t>
      </w:r>
    </w:p>
    <w:p w:rsidR="00566EAF" w:rsidRPr="00C429A7" w:rsidRDefault="00070845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s-MX"/>
        </w:rPr>
      </w:pPr>
      <w:r w:rsidRPr="00C429A7">
        <w:rPr>
          <w:rFonts w:ascii="Times New Roman" w:eastAsia="Times New Roman" w:hAnsi="Times New Roman" w:cs="Times New Roman"/>
          <w:b/>
          <w:sz w:val="24"/>
          <w:szCs w:val="24"/>
          <w:lang w:val="es-MX" w:eastAsia="es-ES"/>
        </w:rPr>
        <w:t>Palabras clave</w:t>
      </w:r>
      <w:r w:rsidRPr="00C429A7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:</w:t>
      </w:r>
      <w:r w:rsidR="00C429A7" w:rsidRPr="00C429A7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E</w:t>
      </w:r>
      <w:r w:rsidRPr="00C429A7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ngorda de </w:t>
      </w:r>
      <w:proofErr w:type="spellStart"/>
      <w:r w:rsidRPr="00C429A7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pejel</w:t>
      </w:r>
      <w:r w:rsidR="00C429A7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a</w:t>
      </w:r>
      <w:r w:rsidRPr="00C429A7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garto</w:t>
      </w:r>
      <w:proofErr w:type="spellEnd"/>
      <w:r w:rsidRPr="00C429A7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, </w:t>
      </w:r>
      <w:r w:rsidR="008B2449" w:rsidRPr="00C429A7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valor presente neto, tasa interna de retorno, análisis</w:t>
      </w:r>
      <w:r w:rsidR="008B2449" w:rsidRPr="00C429A7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de rentabilidad </w:t>
      </w:r>
      <w:proofErr w:type="spellStart"/>
      <w:r w:rsidR="008B2449" w:rsidRPr="00C429A7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>bioeconomica</w:t>
      </w:r>
      <w:proofErr w:type="spellEnd"/>
      <w:r w:rsidR="008B2449" w:rsidRPr="00C429A7">
        <w:rPr>
          <w:rFonts w:ascii="Times New Roman" w:eastAsia="Times New Roman" w:hAnsi="Times New Roman" w:cs="Times New Roman"/>
          <w:sz w:val="24"/>
          <w:szCs w:val="24"/>
          <w:lang w:val="es-MX" w:eastAsia="es-ES"/>
        </w:rPr>
        <w:t xml:space="preserve"> </w:t>
      </w:r>
    </w:p>
    <w:p w:rsidR="00FC3429" w:rsidRPr="00C429A7" w:rsidRDefault="00FC3429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s-MX"/>
        </w:rPr>
      </w:pPr>
    </w:p>
    <w:p w:rsidR="0028176E" w:rsidRPr="006E423F" w:rsidRDefault="008B2449" w:rsidP="008B24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23F">
        <w:rPr>
          <w:rFonts w:ascii="Times New Roman" w:hAnsi="Times New Roman" w:cs="Times New Roman"/>
          <w:b/>
          <w:sz w:val="24"/>
          <w:szCs w:val="24"/>
        </w:rPr>
        <w:t>Introduction</w:t>
      </w:r>
    </w:p>
    <w:p w:rsidR="0028176E" w:rsidRPr="006E423F" w:rsidRDefault="0028176E" w:rsidP="00DA1A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23F">
        <w:rPr>
          <w:rFonts w:ascii="Times New Roman" w:hAnsi="Times New Roman" w:cs="Times New Roman"/>
          <w:sz w:val="24"/>
          <w:szCs w:val="24"/>
        </w:rPr>
        <w:t>Tropical gar (</w:t>
      </w:r>
      <w:proofErr w:type="spellStart"/>
      <w:r w:rsidRPr="006E423F">
        <w:rPr>
          <w:rFonts w:ascii="Times New Roman" w:hAnsi="Times New Roman" w:cs="Times New Roman"/>
          <w:i/>
          <w:sz w:val="24"/>
          <w:szCs w:val="24"/>
        </w:rPr>
        <w:t>Atractosteus</w:t>
      </w:r>
      <w:proofErr w:type="spellEnd"/>
      <w:r w:rsidRPr="006E42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423F">
        <w:rPr>
          <w:rFonts w:ascii="Times New Roman" w:hAnsi="Times New Roman" w:cs="Times New Roman"/>
          <w:i/>
          <w:sz w:val="24"/>
          <w:szCs w:val="24"/>
        </w:rPr>
        <w:t>tropicus</w:t>
      </w:r>
      <w:proofErr w:type="spellEnd"/>
      <w:r w:rsidRPr="006E423F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6E423F">
        <w:rPr>
          <w:rFonts w:ascii="Times New Roman" w:hAnsi="Times New Roman" w:cs="Times New Roman"/>
          <w:sz w:val="24"/>
          <w:szCs w:val="24"/>
        </w:rPr>
        <w:t>is distrib</w:t>
      </w:r>
      <w:r w:rsidR="00C429A7">
        <w:rPr>
          <w:rFonts w:ascii="Times New Roman" w:hAnsi="Times New Roman" w:cs="Times New Roman"/>
          <w:sz w:val="24"/>
          <w:szCs w:val="24"/>
        </w:rPr>
        <w:t>uted from southeast Mexico to</w:t>
      </w:r>
      <w:r w:rsidRPr="006E423F">
        <w:rPr>
          <w:rFonts w:ascii="Times New Roman" w:hAnsi="Times New Roman" w:cs="Times New Roman"/>
          <w:sz w:val="24"/>
          <w:szCs w:val="24"/>
        </w:rPr>
        <w:t xml:space="preserve"> Central America, including countries such as Costa Rica, Guatemala, Nicaragua, Honduras and El Salvador, it represents a high consumption fishery resource in southeast Mexico (Miller </w:t>
      </w:r>
      <w:r w:rsidRPr="00786930">
        <w:rPr>
          <w:rFonts w:ascii="Times New Roman" w:hAnsi="Times New Roman" w:cs="Times New Roman"/>
          <w:i/>
          <w:sz w:val="24"/>
          <w:szCs w:val="24"/>
        </w:rPr>
        <w:t>et al</w:t>
      </w:r>
      <w:r w:rsidRPr="006E423F">
        <w:rPr>
          <w:rFonts w:ascii="Times New Roman" w:hAnsi="Times New Roman" w:cs="Times New Roman"/>
          <w:sz w:val="24"/>
          <w:szCs w:val="24"/>
        </w:rPr>
        <w:t xml:space="preserve">., 2009). Its fishery </w:t>
      </w:r>
      <w:r w:rsidR="00070845" w:rsidRPr="006E423F">
        <w:rPr>
          <w:rFonts w:ascii="Times New Roman" w:hAnsi="Times New Roman" w:cs="Times New Roman"/>
          <w:sz w:val="24"/>
          <w:szCs w:val="24"/>
        </w:rPr>
        <w:t>represents</w:t>
      </w:r>
      <w:r w:rsidRPr="006E423F">
        <w:rPr>
          <w:rFonts w:ascii="Times New Roman" w:hAnsi="Times New Roman" w:cs="Times New Roman"/>
          <w:sz w:val="24"/>
          <w:szCs w:val="24"/>
        </w:rPr>
        <w:t xml:space="preserve"> an important income in rural areas as a food resource, handcraft produ</w:t>
      </w:r>
      <w:r w:rsidR="00143291">
        <w:rPr>
          <w:rFonts w:ascii="Times New Roman" w:hAnsi="Times New Roman" w:cs="Times New Roman"/>
          <w:sz w:val="24"/>
          <w:szCs w:val="24"/>
        </w:rPr>
        <w:t>ct and aquarium product</w:t>
      </w:r>
      <w:r w:rsidRPr="006E42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423F">
        <w:rPr>
          <w:rFonts w:ascii="Times New Roman" w:hAnsi="Times New Roman" w:cs="Times New Roman"/>
          <w:sz w:val="24"/>
          <w:szCs w:val="24"/>
        </w:rPr>
        <w:t>Márquez</w:t>
      </w:r>
      <w:proofErr w:type="spellEnd"/>
      <w:r w:rsidRPr="006E423F">
        <w:rPr>
          <w:rFonts w:ascii="Times New Roman" w:hAnsi="Times New Roman" w:cs="Times New Roman"/>
          <w:sz w:val="24"/>
          <w:szCs w:val="24"/>
        </w:rPr>
        <w:t xml:space="preserve">-Couturier &amp; Vázquez-Navarrete, 2015). </w:t>
      </w:r>
    </w:p>
    <w:p w:rsidR="0028176E" w:rsidRPr="006E423F" w:rsidRDefault="0028176E" w:rsidP="00DA1A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23F">
        <w:rPr>
          <w:rFonts w:ascii="Times New Roman" w:hAnsi="Times New Roman" w:cs="Times New Roman"/>
          <w:sz w:val="24"/>
          <w:szCs w:val="24"/>
        </w:rPr>
        <w:t xml:space="preserve">Its high adaptability </w:t>
      </w:r>
      <w:r w:rsidR="00070845" w:rsidRPr="006E423F">
        <w:rPr>
          <w:rFonts w:ascii="Times New Roman" w:hAnsi="Times New Roman" w:cs="Times New Roman"/>
          <w:sz w:val="24"/>
          <w:szCs w:val="24"/>
        </w:rPr>
        <w:t>gives</w:t>
      </w:r>
      <w:r w:rsidRPr="006E423F">
        <w:rPr>
          <w:rFonts w:ascii="Times New Roman" w:hAnsi="Times New Roman" w:cs="Times New Roman"/>
          <w:sz w:val="24"/>
          <w:szCs w:val="24"/>
        </w:rPr>
        <w:t xml:space="preserve"> it a great potential for captivity production (</w:t>
      </w:r>
      <w:proofErr w:type="spellStart"/>
      <w:r w:rsidRPr="006E423F">
        <w:rPr>
          <w:rFonts w:ascii="Times New Roman" w:hAnsi="Times New Roman" w:cs="Times New Roman"/>
          <w:sz w:val="24"/>
          <w:szCs w:val="24"/>
        </w:rPr>
        <w:t>Márquez</w:t>
      </w:r>
      <w:proofErr w:type="spellEnd"/>
      <w:r w:rsidRPr="006E423F">
        <w:rPr>
          <w:rFonts w:ascii="Times New Roman" w:hAnsi="Times New Roman" w:cs="Times New Roman"/>
          <w:sz w:val="24"/>
          <w:szCs w:val="24"/>
        </w:rPr>
        <w:t xml:space="preserve">-Couturier </w:t>
      </w:r>
      <w:r w:rsidRPr="00786930">
        <w:rPr>
          <w:rFonts w:ascii="Times New Roman" w:hAnsi="Times New Roman" w:cs="Times New Roman"/>
          <w:i/>
          <w:sz w:val="24"/>
          <w:szCs w:val="24"/>
        </w:rPr>
        <w:t>et al</w:t>
      </w:r>
      <w:r w:rsidRPr="006E423F">
        <w:rPr>
          <w:rFonts w:ascii="Times New Roman" w:hAnsi="Times New Roman" w:cs="Times New Roman"/>
          <w:sz w:val="24"/>
          <w:szCs w:val="24"/>
        </w:rPr>
        <w:t>., 2013). Studies about its biology and development have been important for understanding its reproduction and captivity growth (</w:t>
      </w:r>
      <w:proofErr w:type="spellStart"/>
      <w:r w:rsidRPr="006E423F">
        <w:rPr>
          <w:rFonts w:ascii="Times New Roman" w:hAnsi="Times New Roman" w:cs="Times New Roman"/>
          <w:sz w:val="24"/>
          <w:szCs w:val="24"/>
        </w:rPr>
        <w:t>Márquez</w:t>
      </w:r>
      <w:proofErr w:type="spellEnd"/>
      <w:r w:rsidRPr="006E423F">
        <w:rPr>
          <w:rFonts w:ascii="Times New Roman" w:hAnsi="Times New Roman" w:cs="Times New Roman"/>
          <w:sz w:val="24"/>
          <w:szCs w:val="24"/>
        </w:rPr>
        <w:t xml:space="preserve">-  Couturier </w:t>
      </w:r>
      <w:r w:rsidRPr="00786930">
        <w:rPr>
          <w:rFonts w:ascii="Times New Roman" w:hAnsi="Times New Roman" w:cs="Times New Roman"/>
          <w:i/>
          <w:sz w:val="24"/>
          <w:szCs w:val="24"/>
        </w:rPr>
        <w:t>et al</w:t>
      </w:r>
      <w:r w:rsidRPr="006E423F">
        <w:rPr>
          <w:rFonts w:ascii="Times New Roman" w:hAnsi="Times New Roman" w:cs="Times New Roman"/>
          <w:sz w:val="24"/>
          <w:szCs w:val="24"/>
        </w:rPr>
        <w:t>., 2006), nutritional requirements of larvae and juveniles (</w:t>
      </w:r>
      <w:proofErr w:type="spellStart"/>
      <w:r w:rsidRPr="006E423F">
        <w:rPr>
          <w:rFonts w:ascii="Times New Roman" w:hAnsi="Times New Roman" w:cs="Times New Roman"/>
          <w:sz w:val="24"/>
          <w:szCs w:val="24"/>
        </w:rPr>
        <w:t>Frías</w:t>
      </w:r>
      <w:proofErr w:type="spellEnd"/>
      <w:r w:rsidRPr="006E423F">
        <w:rPr>
          <w:rFonts w:ascii="Times New Roman" w:hAnsi="Times New Roman" w:cs="Times New Roman"/>
          <w:sz w:val="24"/>
          <w:szCs w:val="24"/>
        </w:rPr>
        <w:t xml:space="preserve">-Quintana </w:t>
      </w:r>
      <w:r w:rsidRPr="00786930">
        <w:rPr>
          <w:rFonts w:ascii="Times New Roman" w:hAnsi="Times New Roman" w:cs="Times New Roman"/>
          <w:i/>
          <w:sz w:val="24"/>
          <w:szCs w:val="24"/>
        </w:rPr>
        <w:t>et al</w:t>
      </w:r>
      <w:r w:rsidRPr="006E423F">
        <w:rPr>
          <w:rFonts w:ascii="Times New Roman" w:hAnsi="Times New Roman" w:cs="Times New Roman"/>
          <w:sz w:val="24"/>
          <w:szCs w:val="24"/>
        </w:rPr>
        <w:t xml:space="preserve">., 2010; </w:t>
      </w:r>
      <w:proofErr w:type="spellStart"/>
      <w:r w:rsidRPr="006E423F">
        <w:rPr>
          <w:rFonts w:ascii="Times New Roman" w:hAnsi="Times New Roman" w:cs="Times New Roman"/>
          <w:sz w:val="24"/>
          <w:szCs w:val="24"/>
        </w:rPr>
        <w:t>Frías</w:t>
      </w:r>
      <w:proofErr w:type="spellEnd"/>
      <w:r w:rsidRPr="006E423F">
        <w:rPr>
          <w:rFonts w:ascii="Times New Roman" w:hAnsi="Times New Roman" w:cs="Times New Roman"/>
          <w:sz w:val="24"/>
          <w:szCs w:val="24"/>
        </w:rPr>
        <w:t xml:space="preserve">-Quintana </w:t>
      </w:r>
      <w:r w:rsidRPr="00786930">
        <w:rPr>
          <w:rFonts w:ascii="Times New Roman" w:hAnsi="Times New Roman" w:cs="Times New Roman"/>
          <w:i/>
          <w:sz w:val="24"/>
          <w:szCs w:val="24"/>
        </w:rPr>
        <w:t>et al</w:t>
      </w:r>
      <w:r w:rsidRPr="006E423F">
        <w:rPr>
          <w:rFonts w:ascii="Times New Roman" w:hAnsi="Times New Roman" w:cs="Times New Roman"/>
          <w:sz w:val="24"/>
          <w:szCs w:val="24"/>
        </w:rPr>
        <w:t xml:space="preserve">., 2016; </w:t>
      </w:r>
      <w:proofErr w:type="spellStart"/>
      <w:r w:rsidRPr="006E423F">
        <w:rPr>
          <w:rFonts w:ascii="Times New Roman" w:hAnsi="Times New Roman" w:cs="Times New Roman"/>
          <w:sz w:val="24"/>
          <w:szCs w:val="24"/>
        </w:rPr>
        <w:t>Frías</w:t>
      </w:r>
      <w:proofErr w:type="spellEnd"/>
      <w:r w:rsidRPr="006E423F">
        <w:rPr>
          <w:rFonts w:ascii="Times New Roman" w:hAnsi="Times New Roman" w:cs="Times New Roman"/>
          <w:sz w:val="24"/>
          <w:szCs w:val="24"/>
        </w:rPr>
        <w:t xml:space="preserve">-Quintana </w:t>
      </w:r>
      <w:r w:rsidRPr="00786930">
        <w:rPr>
          <w:rFonts w:ascii="Times New Roman" w:hAnsi="Times New Roman" w:cs="Times New Roman"/>
          <w:i/>
          <w:sz w:val="24"/>
          <w:szCs w:val="24"/>
        </w:rPr>
        <w:t>et al</w:t>
      </w:r>
      <w:r w:rsidRPr="006E423F">
        <w:rPr>
          <w:rFonts w:ascii="Times New Roman" w:hAnsi="Times New Roman" w:cs="Times New Roman"/>
          <w:sz w:val="24"/>
          <w:szCs w:val="24"/>
        </w:rPr>
        <w:t xml:space="preserve">., 2017), digestive system </w:t>
      </w:r>
      <w:r w:rsidRPr="006E423F">
        <w:rPr>
          <w:rFonts w:ascii="Times New Roman" w:hAnsi="Times New Roman" w:cs="Times New Roman"/>
          <w:sz w:val="24"/>
          <w:szCs w:val="24"/>
        </w:rPr>
        <w:lastRenderedPageBreak/>
        <w:t xml:space="preserve">development and </w:t>
      </w:r>
      <w:r w:rsidR="001856BC" w:rsidRPr="006E423F">
        <w:rPr>
          <w:rFonts w:ascii="Times New Roman" w:hAnsi="Times New Roman" w:cs="Times New Roman"/>
          <w:sz w:val="24"/>
          <w:szCs w:val="24"/>
        </w:rPr>
        <w:t>enzymatic</w:t>
      </w:r>
      <w:r w:rsidRPr="006E423F">
        <w:rPr>
          <w:rFonts w:ascii="Times New Roman" w:hAnsi="Times New Roman" w:cs="Times New Roman"/>
          <w:sz w:val="24"/>
          <w:szCs w:val="24"/>
        </w:rPr>
        <w:t xml:space="preserve"> activity (Guerrero-Zarate </w:t>
      </w:r>
      <w:r w:rsidRPr="00786930">
        <w:rPr>
          <w:rFonts w:ascii="Times New Roman" w:hAnsi="Times New Roman" w:cs="Times New Roman"/>
          <w:i/>
          <w:sz w:val="24"/>
          <w:szCs w:val="24"/>
        </w:rPr>
        <w:t>et al</w:t>
      </w:r>
      <w:r w:rsidRPr="006E423F">
        <w:rPr>
          <w:rFonts w:ascii="Times New Roman" w:hAnsi="Times New Roman" w:cs="Times New Roman"/>
          <w:sz w:val="24"/>
          <w:szCs w:val="24"/>
        </w:rPr>
        <w:t xml:space="preserve">., 2013; </w:t>
      </w:r>
      <w:proofErr w:type="spellStart"/>
      <w:r w:rsidRPr="006E423F">
        <w:rPr>
          <w:rFonts w:ascii="Times New Roman" w:hAnsi="Times New Roman" w:cs="Times New Roman"/>
          <w:sz w:val="24"/>
          <w:szCs w:val="24"/>
        </w:rPr>
        <w:t>Frías</w:t>
      </w:r>
      <w:proofErr w:type="spellEnd"/>
      <w:r w:rsidRPr="006E423F">
        <w:rPr>
          <w:rFonts w:ascii="Times New Roman" w:hAnsi="Times New Roman" w:cs="Times New Roman"/>
          <w:sz w:val="24"/>
          <w:szCs w:val="24"/>
        </w:rPr>
        <w:t xml:space="preserve">-Quintana </w:t>
      </w:r>
      <w:r w:rsidRPr="00786930">
        <w:rPr>
          <w:rFonts w:ascii="Times New Roman" w:hAnsi="Times New Roman" w:cs="Times New Roman"/>
          <w:i/>
          <w:sz w:val="24"/>
          <w:szCs w:val="24"/>
        </w:rPr>
        <w:t>et al</w:t>
      </w:r>
      <w:r w:rsidRPr="006E423F">
        <w:rPr>
          <w:rFonts w:ascii="Times New Roman" w:hAnsi="Times New Roman" w:cs="Times New Roman"/>
          <w:sz w:val="24"/>
          <w:szCs w:val="24"/>
        </w:rPr>
        <w:t xml:space="preserve">., 2015), as well as  </w:t>
      </w:r>
      <w:r w:rsidR="00D138BC" w:rsidRPr="006E423F">
        <w:rPr>
          <w:rFonts w:ascii="Times New Roman" w:hAnsi="Times New Roman" w:cs="Times New Roman"/>
          <w:sz w:val="24"/>
          <w:szCs w:val="24"/>
        </w:rPr>
        <w:t>grow-out</w:t>
      </w:r>
      <w:r w:rsidRPr="006E423F">
        <w:rPr>
          <w:rFonts w:ascii="Times New Roman" w:hAnsi="Times New Roman" w:cs="Times New Roman"/>
          <w:sz w:val="24"/>
          <w:szCs w:val="24"/>
        </w:rPr>
        <w:t xml:space="preserve"> (Vázquez-Navarrete &amp; </w:t>
      </w:r>
      <w:proofErr w:type="spellStart"/>
      <w:r w:rsidRPr="006E423F">
        <w:rPr>
          <w:rFonts w:ascii="Times New Roman" w:hAnsi="Times New Roman" w:cs="Times New Roman"/>
          <w:sz w:val="24"/>
          <w:szCs w:val="24"/>
        </w:rPr>
        <w:t>Márquez</w:t>
      </w:r>
      <w:proofErr w:type="spellEnd"/>
      <w:r w:rsidRPr="006E423F">
        <w:rPr>
          <w:rFonts w:ascii="Times New Roman" w:hAnsi="Times New Roman" w:cs="Times New Roman"/>
          <w:sz w:val="24"/>
          <w:szCs w:val="24"/>
        </w:rPr>
        <w:t xml:space="preserve">-Couturier, 2010; </w:t>
      </w:r>
      <w:proofErr w:type="spellStart"/>
      <w:r w:rsidRPr="006E423F">
        <w:rPr>
          <w:rFonts w:ascii="Times New Roman" w:hAnsi="Times New Roman" w:cs="Times New Roman"/>
          <w:sz w:val="24"/>
          <w:szCs w:val="24"/>
        </w:rPr>
        <w:t>Márquez</w:t>
      </w:r>
      <w:proofErr w:type="spellEnd"/>
      <w:r w:rsidRPr="006E423F">
        <w:rPr>
          <w:rFonts w:ascii="Times New Roman" w:hAnsi="Times New Roman" w:cs="Times New Roman"/>
          <w:sz w:val="24"/>
          <w:szCs w:val="24"/>
        </w:rPr>
        <w:t xml:space="preserve">-Couturier </w:t>
      </w:r>
      <w:r w:rsidRPr="00786930">
        <w:rPr>
          <w:rFonts w:ascii="Times New Roman" w:hAnsi="Times New Roman" w:cs="Times New Roman"/>
          <w:i/>
          <w:sz w:val="24"/>
          <w:szCs w:val="24"/>
        </w:rPr>
        <w:t>et al</w:t>
      </w:r>
      <w:r w:rsidRPr="006E423F">
        <w:rPr>
          <w:rFonts w:ascii="Times New Roman" w:hAnsi="Times New Roman" w:cs="Times New Roman"/>
          <w:sz w:val="24"/>
          <w:szCs w:val="24"/>
        </w:rPr>
        <w:t>., 2013). Also its have been developed specific diets in order to satisfy its nutritional requi</w:t>
      </w:r>
      <w:r w:rsidR="001856BC">
        <w:rPr>
          <w:rFonts w:ascii="Times New Roman" w:hAnsi="Times New Roman" w:cs="Times New Roman"/>
          <w:sz w:val="24"/>
          <w:szCs w:val="24"/>
        </w:rPr>
        <w:t>rements in early stages</w:t>
      </w:r>
      <w:r w:rsidR="0033662E">
        <w:rPr>
          <w:rFonts w:ascii="Times New Roman" w:hAnsi="Times New Roman" w:cs="Times New Roman"/>
          <w:sz w:val="24"/>
          <w:szCs w:val="24"/>
        </w:rPr>
        <w:t>,</w:t>
      </w:r>
      <w:r w:rsidR="001856BC">
        <w:rPr>
          <w:rFonts w:ascii="Times New Roman" w:hAnsi="Times New Roman" w:cs="Times New Roman"/>
          <w:sz w:val="24"/>
          <w:szCs w:val="24"/>
        </w:rPr>
        <w:t xml:space="preserve"> larva</w:t>
      </w:r>
      <w:r w:rsidRPr="006E42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423F">
        <w:rPr>
          <w:rFonts w:ascii="Times New Roman" w:hAnsi="Times New Roman" w:cs="Times New Roman"/>
          <w:sz w:val="24"/>
          <w:szCs w:val="24"/>
        </w:rPr>
        <w:t>Frías</w:t>
      </w:r>
      <w:proofErr w:type="spellEnd"/>
      <w:r w:rsidRPr="006E423F">
        <w:rPr>
          <w:rFonts w:ascii="Times New Roman" w:hAnsi="Times New Roman" w:cs="Times New Roman"/>
          <w:sz w:val="24"/>
          <w:szCs w:val="24"/>
        </w:rPr>
        <w:t xml:space="preserve">-Quintana </w:t>
      </w:r>
      <w:r w:rsidRPr="00786930">
        <w:rPr>
          <w:rFonts w:ascii="Times New Roman" w:hAnsi="Times New Roman" w:cs="Times New Roman"/>
          <w:i/>
          <w:sz w:val="24"/>
          <w:szCs w:val="24"/>
        </w:rPr>
        <w:t>et al</w:t>
      </w:r>
      <w:r w:rsidRPr="006E423F">
        <w:rPr>
          <w:rFonts w:ascii="Times New Roman" w:hAnsi="Times New Roman" w:cs="Times New Roman"/>
          <w:sz w:val="24"/>
          <w:szCs w:val="24"/>
        </w:rPr>
        <w:t xml:space="preserve">., 2016), </w:t>
      </w:r>
      <w:r w:rsidR="00D138BC" w:rsidRPr="006E423F">
        <w:rPr>
          <w:rFonts w:ascii="Times New Roman" w:hAnsi="Times New Roman" w:cs="Times New Roman"/>
          <w:sz w:val="24"/>
          <w:szCs w:val="24"/>
        </w:rPr>
        <w:t>grow-out</w:t>
      </w:r>
      <w:r w:rsidRPr="006E423F">
        <w:rPr>
          <w:rFonts w:ascii="Times New Roman" w:hAnsi="Times New Roman" w:cs="Times New Roman"/>
          <w:sz w:val="24"/>
          <w:szCs w:val="24"/>
        </w:rPr>
        <w:t xml:space="preserve"> of juveniles in concrete ponds and the meat organoleptic evaluation (</w:t>
      </w:r>
      <w:proofErr w:type="spellStart"/>
      <w:r w:rsidRPr="006E423F">
        <w:rPr>
          <w:rFonts w:ascii="Times New Roman" w:hAnsi="Times New Roman" w:cs="Times New Roman"/>
          <w:sz w:val="24"/>
          <w:szCs w:val="24"/>
        </w:rPr>
        <w:t>Jesús</w:t>
      </w:r>
      <w:proofErr w:type="spellEnd"/>
      <w:r w:rsidRPr="006E423F">
        <w:rPr>
          <w:rFonts w:ascii="Times New Roman" w:hAnsi="Times New Roman" w:cs="Times New Roman"/>
          <w:sz w:val="24"/>
          <w:szCs w:val="24"/>
        </w:rPr>
        <w:t xml:space="preserve">-Contreras, 2016) and finally a financial analysis in polyculture (González </w:t>
      </w:r>
      <w:r w:rsidRPr="00786930">
        <w:rPr>
          <w:rFonts w:ascii="Times New Roman" w:hAnsi="Times New Roman" w:cs="Times New Roman"/>
          <w:i/>
          <w:sz w:val="24"/>
          <w:szCs w:val="24"/>
        </w:rPr>
        <w:t>et al</w:t>
      </w:r>
      <w:r w:rsidRPr="006E423F">
        <w:rPr>
          <w:rFonts w:ascii="Times New Roman" w:hAnsi="Times New Roman" w:cs="Times New Roman"/>
          <w:sz w:val="24"/>
          <w:szCs w:val="24"/>
        </w:rPr>
        <w:t>., 2011).</w:t>
      </w:r>
    </w:p>
    <w:p w:rsidR="0028176E" w:rsidRPr="006E423F" w:rsidRDefault="0028176E" w:rsidP="00DA1A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23F">
        <w:rPr>
          <w:rFonts w:ascii="Times New Roman" w:hAnsi="Times New Roman" w:cs="Times New Roman"/>
          <w:sz w:val="24"/>
          <w:szCs w:val="24"/>
        </w:rPr>
        <w:t xml:space="preserve">The nonexistence of </w:t>
      </w:r>
      <w:proofErr w:type="spellStart"/>
      <w:r w:rsidRPr="006E423F">
        <w:rPr>
          <w:rFonts w:ascii="Times New Roman" w:hAnsi="Times New Roman" w:cs="Times New Roman"/>
          <w:sz w:val="24"/>
          <w:szCs w:val="24"/>
        </w:rPr>
        <w:t>bioeconomi</w:t>
      </w:r>
      <w:r w:rsidR="0033662E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070845" w:rsidRPr="006E423F">
        <w:rPr>
          <w:rFonts w:ascii="Times New Roman" w:hAnsi="Times New Roman" w:cs="Times New Roman"/>
          <w:sz w:val="24"/>
          <w:szCs w:val="24"/>
        </w:rPr>
        <w:t xml:space="preserve"> analysis in production pilot</w:t>
      </w:r>
      <w:r w:rsidRPr="006E423F">
        <w:rPr>
          <w:rFonts w:ascii="Times New Roman" w:hAnsi="Times New Roman" w:cs="Times New Roman"/>
          <w:sz w:val="24"/>
          <w:szCs w:val="24"/>
        </w:rPr>
        <w:t xml:space="preserve"> systems is one of the reasons why tropical gar aquaculture is not yet at a commercial level (</w:t>
      </w:r>
      <w:proofErr w:type="spellStart"/>
      <w:r w:rsidRPr="006E423F">
        <w:rPr>
          <w:rFonts w:ascii="Times New Roman" w:hAnsi="Times New Roman" w:cs="Times New Roman"/>
          <w:sz w:val="24"/>
          <w:szCs w:val="24"/>
        </w:rPr>
        <w:t>Márquez</w:t>
      </w:r>
      <w:proofErr w:type="spellEnd"/>
      <w:r w:rsidRPr="006E423F">
        <w:rPr>
          <w:rFonts w:ascii="Times New Roman" w:hAnsi="Times New Roman" w:cs="Times New Roman"/>
          <w:sz w:val="24"/>
          <w:szCs w:val="24"/>
        </w:rPr>
        <w:t xml:space="preserve">-Couturier &amp; Vázquez-Navarrete, 2015).   </w:t>
      </w:r>
    </w:p>
    <w:p w:rsidR="0028176E" w:rsidRPr="006E423F" w:rsidRDefault="0028176E" w:rsidP="00DA1A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23F">
        <w:rPr>
          <w:rFonts w:ascii="Times New Roman" w:hAnsi="Times New Roman" w:cs="Times New Roman"/>
          <w:sz w:val="24"/>
          <w:szCs w:val="24"/>
        </w:rPr>
        <w:t xml:space="preserve">The present project </w:t>
      </w:r>
      <w:r w:rsidR="00070845" w:rsidRPr="006E423F">
        <w:rPr>
          <w:rFonts w:ascii="Times New Roman" w:hAnsi="Times New Roman" w:cs="Times New Roman"/>
          <w:sz w:val="24"/>
          <w:szCs w:val="24"/>
        </w:rPr>
        <w:t>aims</w:t>
      </w:r>
      <w:r w:rsidRPr="006E423F">
        <w:rPr>
          <w:rFonts w:ascii="Times New Roman" w:hAnsi="Times New Roman" w:cs="Times New Roman"/>
          <w:sz w:val="24"/>
          <w:szCs w:val="24"/>
        </w:rPr>
        <w:t xml:space="preserve"> to analyze the complete profitability on the tropical gar production at a commercial level, based on biological information obtained from the culture development reaching a commercial size,</w:t>
      </w:r>
      <w:r w:rsidR="0033662E">
        <w:rPr>
          <w:rFonts w:ascii="Times New Roman" w:hAnsi="Times New Roman" w:cs="Times New Roman"/>
          <w:sz w:val="24"/>
          <w:szCs w:val="24"/>
        </w:rPr>
        <w:t xml:space="preserve"> meat proximal analysis,</w:t>
      </w:r>
      <w:r w:rsidRPr="006E423F">
        <w:rPr>
          <w:rFonts w:ascii="Times New Roman" w:hAnsi="Times New Roman" w:cs="Times New Roman"/>
          <w:sz w:val="24"/>
          <w:szCs w:val="24"/>
        </w:rPr>
        <w:t xml:space="preserve"> as well as the costs generated from the production cycles. During the culture, we compared fish growth under conventional diet with a trout </w:t>
      </w:r>
      <w:r w:rsidR="0033662E" w:rsidRPr="006E423F">
        <w:rPr>
          <w:rFonts w:ascii="Times New Roman" w:hAnsi="Times New Roman" w:cs="Times New Roman"/>
          <w:sz w:val="24"/>
          <w:szCs w:val="24"/>
        </w:rPr>
        <w:t>commercial</w:t>
      </w:r>
      <w:r w:rsidRPr="006E423F">
        <w:rPr>
          <w:rFonts w:ascii="Times New Roman" w:hAnsi="Times New Roman" w:cs="Times New Roman"/>
          <w:sz w:val="24"/>
          <w:szCs w:val="24"/>
        </w:rPr>
        <w:t xml:space="preserve"> feed (Silver Cup®) (</w:t>
      </w:r>
      <w:proofErr w:type="spellStart"/>
      <w:r w:rsidRPr="006E423F">
        <w:rPr>
          <w:rFonts w:ascii="Times New Roman" w:hAnsi="Times New Roman" w:cs="Times New Roman"/>
          <w:sz w:val="24"/>
          <w:szCs w:val="24"/>
        </w:rPr>
        <w:t>Márquez</w:t>
      </w:r>
      <w:proofErr w:type="spellEnd"/>
      <w:r w:rsidRPr="006E423F">
        <w:rPr>
          <w:rFonts w:ascii="Times New Roman" w:hAnsi="Times New Roman" w:cs="Times New Roman"/>
          <w:sz w:val="24"/>
          <w:szCs w:val="24"/>
        </w:rPr>
        <w:t xml:space="preserve"> </w:t>
      </w:r>
      <w:r w:rsidRPr="00786930">
        <w:rPr>
          <w:rFonts w:ascii="Times New Roman" w:hAnsi="Times New Roman" w:cs="Times New Roman"/>
          <w:i/>
          <w:sz w:val="24"/>
          <w:szCs w:val="24"/>
        </w:rPr>
        <w:t>et al</w:t>
      </w:r>
      <w:r w:rsidRPr="006E423F">
        <w:rPr>
          <w:rFonts w:ascii="Times New Roman" w:hAnsi="Times New Roman" w:cs="Times New Roman"/>
          <w:sz w:val="24"/>
          <w:szCs w:val="24"/>
        </w:rPr>
        <w:t>., 2013) and a</w:t>
      </w:r>
      <w:r w:rsidR="0033662E">
        <w:rPr>
          <w:rFonts w:ascii="Times New Roman" w:hAnsi="Times New Roman" w:cs="Times New Roman"/>
          <w:sz w:val="24"/>
          <w:szCs w:val="24"/>
        </w:rPr>
        <w:t>n</w:t>
      </w:r>
      <w:r w:rsidRPr="006E423F">
        <w:rPr>
          <w:rFonts w:ascii="Times New Roman" w:hAnsi="Times New Roman" w:cs="Times New Roman"/>
          <w:sz w:val="24"/>
          <w:szCs w:val="24"/>
        </w:rPr>
        <w:t xml:space="preserve"> experimental diet designed specifically for tropical gar (</w:t>
      </w:r>
      <w:proofErr w:type="spellStart"/>
      <w:r w:rsidRPr="006E423F">
        <w:rPr>
          <w:rFonts w:ascii="Times New Roman" w:hAnsi="Times New Roman" w:cs="Times New Roman"/>
          <w:sz w:val="24"/>
          <w:szCs w:val="24"/>
        </w:rPr>
        <w:t>Súper</w:t>
      </w:r>
      <w:proofErr w:type="spellEnd"/>
      <w:r w:rsidRPr="006E423F">
        <w:rPr>
          <w:rFonts w:ascii="Times New Roman" w:hAnsi="Times New Roman" w:cs="Times New Roman"/>
          <w:sz w:val="24"/>
          <w:szCs w:val="24"/>
        </w:rPr>
        <w:t>®) (</w:t>
      </w:r>
      <w:proofErr w:type="spellStart"/>
      <w:r w:rsidRPr="006E423F">
        <w:rPr>
          <w:rFonts w:ascii="Times New Roman" w:hAnsi="Times New Roman" w:cs="Times New Roman"/>
          <w:sz w:val="24"/>
          <w:szCs w:val="24"/>
        </w:rPr>
        <w:t>Jesús</w:t>
      </w:r>
      <w:proofErr w:type="spellEnd"/>
      <w:r w:rsidRPr="006E423F">
        <w:rPr>
          <w:rFonts w:ascii="Times New Roman" w:hAnsi="Times New Roman" w:cs="Times New Roman"/>
          <w:sz w:val="24"/>
          <w:szCs w:val="24"/>
        </w:rPr>
        <w:t xml:space="preserve">-Contreras, 2016). Also it was evaluated the investment, the investment return, the benefits from the tropical gar </w:t>
      </w:r>
      <w:r w:rsidR="00D138BC" w:rsidRPr="006E423F">
        <w:rPr>
          <w:rFonts w:ascii="Times New Roman" w:hAnsi="Times New Roman" w:cs="Times New Roman"/>
          <w:sz w:val="24"/>
          <w:szCs w:val="24"/>
        </w:rPr>
        <w:t>grow-out</w:t>
      </w:r>
      <w:r w:rsidRPr="006E423F">
        <w:rPr>
          <w:rFonts w:ascii="Times New Roman" w:hAnsi="Times New Roman" w:cs="Times New Roman"/>
          <w:sz w:val="24"/>
          <w:szCs w:val="24"/>
        </w:rPr>
        <w:t xml:space="preserve"> and finally several economic indicators that allowed the financial profitability analysis on this monoculture activity.   </w:t>
      </w:r>
    </w:p>
    <w:p w:rsidR="008B2449" w:rsidRPr="006E423F" w:rsidRDefault="008B2449" w:rsidP="00DA1A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449" w:rsidRPr="006E423F" w:rsidRDefault="008B2449" w:rsidP="008B2449">
      <w:pPr>
        <w:pStyle w:val="Textoindependiente3"/>
        <w:tabs>
          <w:tab w:val="left" w:pos="6405"/>
        </w:tabs>
        <w:spacing w:after="0" w:line="360" w:lineRule="auto"/>
        <w:ind w:right="-50"/>
        <w:jc w:val="center"/>
        <w:outlineLvl w:val="0"/>
        <w:rPr>
          <w:b/>
          <w:sz w:val="24"/>
          <w:szCs w:val="24"/>
          <w:lang w:val="en-US"/>
        </w:rPr>
      </w:pPr>
      <w:r w:rsidRPr="006E423F">
        <w:rPr>
          <w:b/>
          <w:sz w:val="24"/>
          <w:szCs w:val="24"/>
          <w:lang w:val="en-US"/>
        </w:rPr>
        <w:t>Materials and methods</w:t>
      </w:r>
    </w:p>
    <w:p w:rsidR="0028176E" w:rsidRPr="006E423F" w:rsidRDefault="008B2449" w:rsidP="00DA1A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23F">
        <w:rPr>
          <w:rFonts w:ascii="Times New Roman" w:hAnsi="Times New Roman" w:cs="Times New Roman"/>
          <w:b/>
          <w:sz w:val="24"/>
          <w:szCs w:val="24"/>
        </w:rPr>
        <w:t xml:space="preserve">Tropical gar juveniles. </w:t>
      </w:r>
      <w:r w:rsidR="0028176E" w:rsidRPr="006E423F">
        <w:rPr>
          <w:rFonts w:ascii="Times New Roman" w:hAnsi="Times New Roman" w:cs="Times New Roman"/>
          <w:sz w:val="24"/>
          <w:szCs w:val="24"/>
        </w:rPr>
        <w:t>Fish were obtained from the tropical gar far</w:t>
      </w:r>
      <w:r w:rsidR="0033662E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="0033662E">
        <w:rPr>
          <w:rFonts w:ascii="Times New Roman" w:hAnsi="Times New Roman" w:cs="Times New Roman"/>
          <w:sz w:val="24"/>
          <w:szCs w:val="24"/>
        </w:rPr>
        <w:t>Otot</w:t>
      </w:r>
      <w:proofErr w:type="spellEnd"/>
      <w:r w:rsidR="003366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662E">
        <w:rPr>
          <w:rFonts w:ascii="Times New Roman" w:hAnsi="Times New Roman" w:cs="Times New Roman"/>
          <w:sz w:val="24"/>
          <w:szCs w:val="24"/>
        </w:rPr>
        <w:t>ibam</w:t>
      </w:r>
      <w:proofErr w:type="spellEnd"/>
      <w:r w:rsidR="0033662E">
        <w:rPr>
          <w:rFonts w:ascii="Times New Roman" w:hAnsi="Times New Roman" w:cs="Times New Roman"/>
          <w:sz w:val="24"/>
          <w:szCs w:val="24"/>
        </w:rPr>
        <w:t>, located</w:t>
      </w:r>
      <w:r w:rsidR="0028176E" w:rsidRPr="006E423F">
        <w:rPr>
          <w:rFonts w:ascii="Times New Roman" w:hAnsi="Times New Roman" w:cs="Times New Roman"/>
          <w:sz w:val="24"/>
          <w:szCs w:val="24"/>
        </w:rPr>
        <w:t xml:space="preserve"> at the 7.5 Km </w:t>
      </w:r>
      <w:proofErr w:type="spellStart"/>
      <w:r w:rsidR="0028176E" w:rsidRPr="006E423F">
        <w:rPr>
          <w:rFonts w:ascii="Times New Roman" w:hAnsi="Times New Roman" w:cs="Times New Roman"/>
          <w:sz w:val="24"/>
          <w:szCs w:val="24"/>
        </w:rPr>
        <w:t>Comalcalco-Potrerito</w:t>
      </w:r>
      <w:proofErr w:type="spellEnd"/>
      <w:r w:rsidR="0028176E" w:rsidRPr="006E4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76E" w:rsidRPr="006E423F">
        <w:rPr>
          <w:rFonts w:ascii="Times New Roman" w:hAnsi="Times New Roman" w:cs="Times New Roman"/>
          <w:sz w:val="24"/>
          <w:szCs w:val="24"/>
        </w:rPr>
        <w:t>Zapotal</w:t>
      </w:r>
      <w:proofErr w:type="spellEnd"/>
      <w:r w:rsidR="0028176E" w:rsidRPr="006E423F">
        <w:rPr>
          <w:rFonts w:ascii="Times New Roman" w:hAnsi="Times New Roman" w:cs="Times New Roman"/>
          <w:sz w:val="24"/>
          <w:szCs w:val="24"/>
        </w:rPr>
        <w:t xml:space="preserve"> second section in </w:t>
      </w:r>
      <w:proofErr w:type="spellStart"/>
      <w:r w:rsidR="0028176E" w:rsidRPr="006E423F">
        <w:rPr>
          <w:rFonts w:ascii="Times New Roman" w:hAnsi="Times New Roman" w:cs="Times New Roman"/>
          <w:sz w:val="24"/>
          <w:szCs w:val="24"/>
        </w:rPr>
        <w:t>Comalcalc</w:t>
      </w:r>
      <w:r w:rsidR="0033662E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33662E">
        <w:rPr>
          <w:rFonts w:ascii="Times New Roman" w:hAnsi="Times New Roman" w:cs="Times New Roman"/>
          <w:sz w:val="24"/>
          <w:szCs w:val="24"/>
        </w:rPr>
        <w:t xml:space="preserve"> municipality, Tabasco, Mexico. P</w:t>
      </w:r>
      <w:r w:rsidR="0028176E" w:rsidRPr="006E423F">
        <w:rPr>
          <w:rFonts w:ascii="Times New Roman" w:hAnsi="Times New Roman" w:cs="Times New Roman"/>
          <w:sz w:val="24"/>
          <w:szCs w:val="24"/>
        </w:rPr>
        <w:t xml:space="preserve">roduced from captivity </w:t>
      </w:r>
      <w:proofErr w:type="spellStart"/>
      <w:r w:rsidR="0028176E" w:rsidRPr="006E423F">
        <w:rPr>
          <w:rFonts w:ascii="Times New Roman" w:hAnsi="Times New Roman" w:cs="Times New Roman"/>
          <w:sz w:val="24"/>
          <w:szCs w:val="24"/>
        </w:rPr>
        <w:t>spawnings</w:t>
      </w:r>
      <w:proofErr w:type="spellEnd"/>
      <w:r w:rsidR="0028176E" w:rsidRPr="006E423F">
        <w:rPr>
          <w:rFonts w:ascii="Times New Roman" w:hAnsi="Times New Roman" w:cs="Times New Roman"/>
          <w:sz w:val="24"/>
          <w:szCs w:val="24"/>
        </w:rPr>
        <w:t xml:space="preserve"> and results from the feeding</w:t>
      </w:r>
      <w:r w:rsidR="0033662E">
        <w:rPr>
          <w:rFonts w:ascii="Times New Roman" w:hAnsi="Times New Roman" w:cs="Times New Roman"/>
          <w:sz w:val="24"/>
          <w:szCs w:val="24"/>
        </w:rPr>
        <w:t xml:space="preserve"> and growth system from </w:t>
      </w:r>
      <w:proofErr w:type="spellStart"/>
      <w:r w:rsidR="0028176E" w:rsidRPr="006E423F">
        <w:rPr>
          <w:rFonts w:ascii="Times New Roman" w:hAnsi="Times New Roman" w:cs="Times New Roman"/>
          <w:sz w:val="24"/>
          <w:szCs w:val="24"/>
        </w:rPr>
        <w:t>Márquez</w:t>
      </w:r>
      <w:proofErr w:type="spellEnd"/>
      <w:r w:rsidR="0028176E" w:rsidRPr="006E423F">
        <w:rPr>
          <w:rFonts w:ascii="Times New Roman" w:hAnsi="Times New Roman" w:cs="Times New Roman"/>
          <w:sz w:val="24"/>
          <w:szCs w:val="24"/>
        </w:rPr>
        <w:t xml:space="preserve"> </w:t>
      </w:r>
      <w:r w:rsidR="0028176E" w:rsidRPr="00786930">
        <w:rPr>
          <w:rFonts w:ascii="Times New Roman" w:hAnsi="Times New Roman" w:cs="Times New Roman"/>
          <w:i/>
          <w:sz w:val="24"/>
          <w:szCs w:val="24"/>
        </w:rPr>
        <w:t>et al</w:t>
      </w:r>
      <w:r w:rsidR="0028176E" w:rsidRPr="006E423F">
        <w:rPr>
          <w:rFonts w:ascii="Times New Roman" w:hAnsi="Times New Roman" w:cs="Times New Roman"/>
          <w:sz w:val="24"/>
          <w:szCs w:val="24"/>
        </w:rPr>
        <w:t>. (2013).</w:t>
      </w:r>
      <w:r w:rsidR="0028176E" w:rsidRPr="006E423F" w:rsidDel="002A52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76E" w:rsidRPr="006E423F" w:rsidRDefault="0028176E" w:rsidP="00DA1A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23F">
        <w:rPr>
          <w:rFonts w:ascii="Times New Roman" w:hAnsi="Times New Roman" w:cs="Times New Roman"/>
          <w:b/>
          <w:sz w:val="24"/>
          <w:szCs w:val="24"/>
        </w:rPr>
        <w:t>Experimental design</w:t>
      </w:r>
      <w:r w:rsidR="008B2449" w:rsidRPr="006E423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E423F">
        <w:rPr>
          <w:rFonts w:ascii="Times New Roman" w:hAnsi="Times New Roman" w:cs="Times New Roman"/>
          <w:sz w:val="24"/>
          <w:szCs w:val="24"/>
        </w:rPr>
        <w:t xml:space="preserve">During this study the growth of tropical gar </w:t>
      </w:r>
      <w:proofErr w:type="spellStart"/>
      <w:r w:rsidRPr="006E423F">
        <w:rPr>
          <w:rFonts w:ascii="Times New Roman" w:hAnsi="Times New Roman" w:cs="Times New Roman"/>
          <w:i/>
          <w:sz w:val="24"/>
          <w:szCs w:val="24"/>
        </w:rPr>
        <w:t>Atractosteus</w:t>
      </w:r>
      <w:proofErr w:type="spellEnd"/>
      <w:r w:rsidRPr="006E423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423F">
        <w:rPr>
          <w:rFonts w:ascii="Times New Roman" w:hAnsi="Times New Roman" w:cs="Times New Roman"/>
          <w:i/>
          <w:sz w:val="24"/>
          <w:szCs w:val="24"/>
        </w:rPr>
        <w:t>tropicus</w:t>
      </w:r>
      <w:proofErr w:type="spellEnd"/>
      <w:r w:rsidRPr="006E42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423F">
        <w:rPr>
          <w:rFonts w:ascii="Times New Roman" w:hAnsi="Times New Roman" w:cs="Times New Roman"/>
          <w:sz w:val="24"/>
          <w:szCs w:val="24"/>
        </w:rPr>
        <w:t xml:space="preserve">was evaluated, fed with two different diets during 210 days. Feeds used were; </w:t>
      </w:r>
      <w:r w:rsidR="002332E8">
        <w:rPr>
          <w:rFonts w:ascii="Times New Roman" w:hAnsi="Times New Roman" w:cs="Times New Roman"/>
          <w:sz w:val="24"/>
          <w:szCs w:val="24"/>
        </w:rPr>
        <w:t xml:space="preserve">Super® </w:t>
      </w:r>
      <w:r w:rsidRPr="006E423F">
        <w:rPr>
          <w:rFonts w:ascii="Times New Roman" w:hAnsi="Times New Roman" w:cs="Times New Roman"/>
          <w:sz w:val="24"/>
          <w:szCs w:val="24"/>
        </w:rPr>
        <w:t>(specific formulated diet for tropical gar) 4.5 mm particle size, with 38% protein and 7% lipids (</w:t>
      </w:r>
      <w:proofErr w:type="spellStart"/>
      <w:r w:rsidRPr="006E423F">
        <w:rPr>
          <w:rFonts w:ascii="Times New Roman" w:hAnsi="Times New Roman" w:cs="Times New Roman"/>
          <w:sz w:val="24"/>
          <w:szCs w:val="24"/>
        </w:rPr>
        <w:t>Jesús</w:t>
      </w:r>
      <w:proofErr w:type="spellEnd"/>
      <w:r w:rsidRPr="006E423F">
        <w:rPr>
          <w:rFonts w:ascii="Times New Roman" w:hAnsi="Times New Roman" w:cs="Times New Roman"/>
          <w:sz w:val="24"/>
          <w:szCs w:val="24"/>
        </w:rPr>
        <w:t>-Contreras 2016) and trout commercial feed,</w:t>
      </w:r>
      <w:r w:rsidR="00612CF9">
        <w:rPr>
          <w:rFonts w:ascii="Times New Roman" w:hAnsi="Times New Roman" w:cs="Times New Roman"/>
          <w:sz w:val="24"/>
          <w:szCs w:val="24"/>
        </w:rPr>
        <w:t xml:space="preserve"> </w:t>
      </w:r>
      <w:r w:rsidR="00612CF9" w:rsidRPr="006E423F">
        <w:rPr>
          <w:rFonts w:ascii="Times New Roman" w:eastAsiaTheme="minorEastAsia" w:hAnsi="Times New Roman" w:cs="Times New Roman"/>
          <w:sz w:val="24"/>
          <w:szCs w:val="24"/>
        </w:rPr>
        <w:t>Silver Cup®</w:t>
      </w:r>
      <w:r w:rsidRPr="006E423F">
        <w:rPr>
          <w:rFonts w:ascii="Times New Roman" w:hAnsi="Times New Roman" w:cs="Times New Roman"/>
          <w:sz w:val="24"/>
          <w:szCs w:val="24"/>
        </w:rPr>
        <w:t xml:space="preserve"> 5.5 mm particle size, 42% protein and 15% lipids, conventional feed for culture (</w:t>
      </w:r>
      <w:proofErr w:type="spellStart"/>
      <w:r w:rsidRPr="006E423F">
        <w:rPr>
          <w:rFonts w:ascii="Times New Roman" w:hAnsi="Times New Roman" w:cs="Times New Roman"/>
          <w:sz w:val="24"/>
          <w:szCs w:val="24"/>
        </w:rPr>
        <w:t>Márquez</w:t>
      </w:r>
      <w:proofErr w:type="spellEnd"/>
      <w:r w:rsidRPr="006E423F">
        <w:rPr>
          <w:rFonts w:ascii="Times New Roman" w:hAnsi="Times New Roman" w:cs="Times New Roman"/>
          <w:sz w:val="24"/>
          <w:szCs w:val="24"/>
        </w:rPr>
        <w:t xml:space="preserve">-Couturier </w:t>
      </w:r>
      <w:r w:rsidRPr="00786930">
        <w:rPr>
          <w:rFonts w:ascii="Times New Roman" w:hAnsi="Times New Roman" w:cs="Times New Roman"/>
          <w:i/>
          <w:sz w:val="24"/>
          <w:szCs w:val="24"/>
        </w:rPr>
        <w:t>et al</w:t>
      </w:r>
      <w:r w:rsidRPr="006E423F">
        <w:rPr>
          <w:rFonts w:ascii="Times New Roman" w:hAnsi="Times New Roman" w:cs="Times New Roman"/>
          <w:sz w:val="24"/>
          <w:szCs w:val="24"/>
        </w:rPr>
        <w:t xml:space="preserve">., 2013). Feed </w:t>
      </w:r>
      <w:r w:rsidR="002332E8">
        <w:rPr>
          <w:rFonts w:ascii="Times New Roman" w:hAnsi="Times New Roman" w:cs="Times New Roman"/>
          <w:sz w:val="24"/>
          <w:szCs w:val="24"/>
        </w:rPr>
        <w:t xml:space="preserve">Super® </w:t>
      </w:r>
      <w:r w:rsidRPr="006E423F">
        <w:rPr>
          <w:rFonts w:ascii="Times New Roman" w:hAnsi="Times New Roman" w:cs="Times New Roman"/>
          <w:sz w:val="24"/>
          <w:szCs w:val="24"/>
        </w:rPr>
        <w:t xml:space="preserve">was formulated at the Biochemistry Laboratory UJAT-DACBIOL and manufactured by </w:t>
      </w:r>
      <w:proofErr w:type="spellStart"/>
      <w:r w:rsidRPr="006E423F">
        <w:rPr>
          <w:rFonts w:ascii="Times New Roman" w:hAnsi="Times New Roman" w:cs="Times New Roman"/>
          <w:sz w:val="24"/>
          <w:szCs w:val="24"/>
        </w:rPr>
        <w:t>Consorcio</w:t>
      </w:r>
      <w:proofErr w:type="spellEnd"/>
      <w:r w:rsidRPr="006E4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2E8">
        <w:rPr>
          <w:rFonts w:ascii="Times New Roman" w:hAnsi="Times New Roman" w:cs="Times New Roman"/>
          <w:sz w:val="24"/>
          <w:szCs w:val="24"/>
        </w:rPr>
        <w:t>Super</w:t>
      </w:r>
      <w:r w:rsidRPr="006E423F">
        <w:rPr>
          <w:rFonts w:ascii="Times New Roman" w:hAnsi="Times New Roman" w:cs="Times New Roman"/>
          <w:sz w:val="24"/>
          <w:szCs w:val="24"/>
        </w:rPr>
        <w:t>S.A</w:t>
      </w:r>
      <w:proofErr w:type="spellEnd"/>
      <w:r w:rsidRPr="006E423F">
        <w:rPr>
          <w:rFonts w:ascii="Times New Roman" w:hAnsi="Times New Roman" w:cs="Times New Roman"/>
          <w:sz w:val="24"/>
          <w:szCs w:val="24"/>
        </w:rPr>
        <w:t>. de C.V. in Guadalajara, Jal</w:t>
      </w:r>
      <w:r w:rsidR="00B0253B">
        <w:rPr>
          <w:rFonts w:ascii="Times New Roman" w:hAnsi="Times New Roman" w:cs="Times New Roman"/>
          <w:sz w:val="24"/>
          <w:szCs w:val="24"/>
        </w:rPr>
        <w:t>isco, México by a double extrus</w:t>
      </w:r>
      <w:r w:rsidRPr="006E423F">
        <w:rPr>
          <w:rFonts w:ascii="Times New Roman" w:hAnsi="Times New Roman" w:cs="Times New Roman"/>
          <w:sz w:val="24"/>
          <w:szCs w:val="24"/>
        </w:rPr>
        <w:t>ion process (</w:t>
      </w:r>
      <w:proofErr w:type="spellStart"/>
      <w:r w:rsidRPr="006E423F">
        <w:rPr>
          <w:rFonts w:ascii="Times New Roman" w:hAnsi="Times New Roman" w:cs="Times New Roman"/>
          <w:sz w:val="24"/>
          <w:szCs w:val="24"/>
        </w:rPr>
        <w:t>Jesús</w:t>
      </w:r>
      <w:proofErr w:type="spellEnd"/>
      <w:r w:rsidRPr="006E423F">
        <w:rPr>
          <w:rFonts w:ascii="Times New Roman" w:hAnsi="Times New Roman" w:cs="Times New Roman"/>
          <w:sz w:val="24"/>
          <w:szCs w:val="24"/>
        </w:rPr>
        <w:t>-Contreras, 2016).</w:t>
      </w:r>
    </w:p>
    <w:p w:rsidR="0028176E" w:rsidRPr="006E423F" w:rsidRDefault="0028176E" w:rsidP="00DA1A19">
      <w:pPr>
        <w:tabs>
          <w:tab w:val="left" w:pos="495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23F">
        <w:rPr>
          <w:rFonts w:ascii="Times New Roman" w:hAnsi="Times New Roman" w:cs="Times New Roman"/>
          <w:sz w:val="24"/>
          <w:szCs w:val="24"/>
        </w:rPr>
        <w:t xml:space="preserve">For the commercial evaluation, </w:t>
      </w:r>
      <w:r w:rsidR="00B0253B" w:rsidRPr="006E423F">
        <w:rPr>
          <w:rFonts w:ascii="Times New Roman" w:hAnsi="Times New Roman" w:cs="Times New Roman"/>
          <w:sz w:val="24"/>
          <w:szCs w:val="24"/>
        </w:rPr>
        <w:t>was designed</w:t>
      </w:r>
      <w:r w:rsidR="00B0253B" w:rsidRPr="006E423F">
        <w:rPr>
          <w:rFonts w:ascii="Times New Roman" w:hAnsi="Times New Roman" w:cs="Times New Roman"/>
          <w:sz w:val="24"/>
          <w:szCs w:val="24"/>
        </w:rPr>
        <w:t xml:space="preserve"> </w:t>
      </w:r>
      <w:r w:rsidRPr="006E423F">
        <w:rPr>
          <w:rFonts w:ascii="Times New Roman" w:hAnsi="Times New Roman" w:cs="Times New Roman"/>
          <w:sz w:val="24"/>
          <w:szCs w:val="24"/>
        </w:rPr>
        <w:t xml:space="preserve">a complete </w:t>
      </w:r>
      <w:r w:rsidR="003553E3" w:rsidRPr="006E423F">
        <w:rPr>
          <w:rFonts w:ascii="Times New Roman" w:hAnsi="Times New Roman" w:cs="Times New Roman"/>
          <w:sz w:val="24"/>
          <w:szCs w:val="24"/>
        </w:rPr>
        <w:t>random</w:t>
      </w:r>
      <w:r w:rsidRPr="006E423F">
        <w:rPr>
          <w:rFonts w:ascii="Times New Roman" w:hAnsi="Times New Roman" w:cs="Times New Roman"/>
          <w:sz w:val="24"/>
          <w:szCs w:val="24"/>
        </w:rPr>
        <w:t xml:space="preserve"> experiment with three replicates by treatment. We used six concrete ponds (5 x 1 x 1 m), 240 fish were used with an average weight of 104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</m:oMath>
      <w:r w:rsidRPr="006E423F">
        <w:rPr>
          <w:rFonts w:ascii="Times New Roman" w:eastAsiaTheme="minorEastAsia" w:hAnsi="Times New Roman" w:cs="Times New Roman"/>
          <w:sz w:val="24"/>
          <w:szCs w:val="24"/>
        </w:rPr>
        <w:t>10 g</w:t>
      </w:r>
      <w:r w:rsidRPr="006E423F" w:rsidDel="002A524B">
        <w:rPr>
          <w:rFonts w:ascii="Times New Roman" w:hAnsi="Times New Roman" w:cs="Times New Roman"/>
          <w:sz w:val="24"/>
          <w:szCs w:val="24"/>
        </w:rPr>
        <w:t xml:space="preserve"> </w:t>
      </w:r>
      <w:r w:rsidRPr="006E423F">
        <w:rPr>
          <w:rFonts w:ascii="Times New Roman" w:hAnsi="Times New Roman" w:cs="Times New Roman"/>
          <w:sz w:val="24"/>
          <w:szCs w:val="24"/>
        </w:rPr>
        <w:t xml:space="preserve">and a length of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>de 27.7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±</m:t>
        </m:r>
      </m:oMath>
      <w:r w:rsidRPr="006E423F">
        <w:rPr>
          <w:rFonts w:ascii="Times New Roman" w:eastAsiaTheme="minorEastAsia" w:hAnsi="Times New Roman" w:cs="Times New Roman"/>
          <w:sz w:val="24"/>
          <w:szCs w:val="24"/>
        </w:rPr>
        <w:t>0.88 cm</w:t>
      </w:r>
      <w:r w:rsidRPr="006E423F">
        <w:rPr>
          <w:rFonts w:ascii="Times New Roman" w:hAnsi="Times New Roman" w:cs="Times New Roman"/>
          <w:sz w:val="24"/>
          <w:szCs w:val="24"/>
        </w:rPr>
        <w:t>. The first grow-out phase used 20 fish/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m</w:t>
      </w:r>
      <w:r w:rsidRPr="006E423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3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>with a water volume of 2 m</w:t>
      </w:r>
      <w:r w:rsidRPr="006E423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6E423F">
        <w:rPr>
          <w:rFonts w:ascii="Times New Roman" w:hAnsi="Times New Roman" w:cs="Times New Roman"/>
          <w:sz w:val="24"/>
          <w:szCs w:val="24"/>
        </w:rPr>
        <w:t>, at the final phase the density was corrected for 10 fish/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m</w:t>
      </w:r>
      <w:r w:rsidRPr="006E423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3 </w:t>
      </w:r>
      <w:r w:rsidRPr="006E423F">
        <w:rPr>
          <w:rFonts w:ascii="Times New Roman" w:hAnsi="Times New Roman" w:cs="Times New Roman"/>
          <w:sz w:val="24"/>
          <w:szCs w:val="24"/>
        </w:rPr>
        <w:t xml:space="preserve">and a water volume of 4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>m</w:t>
      </w:r>
      <w:r w:rsidRPr="006E423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28176E" w:rsidRPr="006E423F" w:rsidRDefault="0028176E" w:rsidP="00DA1A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23F">
        <w:rPr>
          <w:rFonts w:ascii="Times New Roman" w:hAnsi="Times New Roman" w:cs="Times New Roman"/>
          <w:sz w:val="24"/>
          <w:szCs w:val="24"/>
        </w:rPr>
        <w:lastRenderedPageBreak/>
        <w:t xml:space="preserve">In both phases fish were fed three times per day (9:00, 13:00 and 17:00 hours). In the first phase fish were fed with the 5% of body mass and at the second phase with 3%. </w:t>
      </w:r>
      <w:r w:rsidR="00B0253B">
        <w:rPr>
          <w:rFonts w:ascii="Times New Roman" w:hAnsi="Times New Roman" w:cs="Times New Roman"/>
          <w:sz w:val="24"/>
          <w:szCs w:val="24"/>
        </w:rPr>
        <w:t xml:space="preserve">Left over feed was weighted in order to develop the </w:t>
      </w:r>
      <w:r w:rsidRPr="006E423F">
        <w:rPr>
          <w:rFonts w:ascii="Times New Roman" w:hAnsi="Times New Roman" w:cs="Times New Roman"/>
          <w:sz w:val="24"/>
          <w:szCs w:val="24"/>
        </w:rPr>
        <w:t>daily consump</w:t>
      </w:r>
      <w:r w:rsidR="00B0253B">
        <w:rPr>
          <w:rFonts w:ascii="Times New Roman" w:hAnsi="Times New Roman" w:cs="Times New Roman"/>
          <w:sz w:val="24"/>
          <w:szCs w:val="24"/>
        </w:rPr>
        <w:t>tion analysis.</w:t>
      </w:r>
    </w:p>
    <w:p w:rsidR="0028176E" w:rsidRPr="006E423F" w:rsidRDefault="0028176E" w:rsidP="00DA1A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23F">
        <w:rPr>
          <w:rFonts w:ascii="Times New Roman" w:hAnsi="Times New Roman" w:cs="Times New Roman"/>
          <w:b/>
          <w:sz w:val="24"/>
          <w:szCs w:val="24"/>
        </w:rPr>
        <w:t>Growth evaluation</w:t>
      </w:r>
      <w:r w:rsidR="008B2449" w:rsidRPr="006E423F">
        <w:rPr>
          <w:rFonts w:ascii="Times New Roman" w:hAnsi="Times New Roman" w:cs="Times New Roman"/>
          <w:b/>
          <w:sz w:val="24"/>
          <w:szCs w:val="24"/>
        </w:rPr>
        <w:t>.</w:t>
      </w:r>
      <w:r w:rsidRPr="006E42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23F">
        <w:rPr>
          <w:rFonts w:ascii="Times New Roman" w:hAnsi="Times New Roman" w:cs="Times New Roman"/>
          <w:sz w:val="24"/>
          <w:szCs w:val="24"/>
        </w:rPr>
        <w:t xml:space="preserve">For growth evaluation in weight (g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sym w:font="Symbol" w:char="F0B1"/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standard deviation) and length (cm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sym w:font="Symbol" w:char="F0B1"/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standard deviation), an initial and monthly sampling with a digital scale (TORREY) and length with a conventional </w:t>
      </w:r>
      <w:proofErr w:type="spellStart"/>
      <w:r w:rsidRPr="006E423F">
        <w:rPr>
          <w:rFonts w:ascii="Times New Roman" w:eastAsiaTheme="minorEastAsia" w:hAnsi="Times New Roman" w:cs="Times New Roman"/>
          <w:sz w:val="24"/>
          <w:szCs w:val="24"/>
        </w:rPr>
        <w:t>ictiometer</w:t>
      </w:r>
      <w:proofErr w:type="spellEnd"/>
      <w:r w:rsidR="003448D8">
        <w:rPr>
          <w:rFonts w:ascii="Times New Roman" w:eastAsiaTheme="minorEastAsia" w:hAnsi="Times New Roman" w:cs="Times New Roman"/>
          <w:sz w:val="24"/>
          <w:szCs w:val="24"/>
        </w:rPr>
        <w:t xml:space="preserve"> was performed. Feeding was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corrected monthly. Survival rate was calculated with direct count of death fish.  </w:t>
      </w:r>
    </w:p>
    <w:p w:rsidR="0028176E" w:rsidRPr="006E423F" w:rsidRDefault="0028176E" w:rsidP="00DA1A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23F">
        <w:rPr>
          <w:rFonts w:ascii="Times New Roman" w:hAnsi="Times New Roman" w:cs="Times New Roman"/>
          <w:b/>
          <w:sz w:val="24"/>
          <w:szCs w:val="24"/>
        </w:rPr>
        <w:t>Ponds management</w:t>
      </w:r>
      <w:r w:rsidR="008B2449" w:rsidRPr="006E423F">
        <w:rPr>
          <w:rFonts w:ascii="Times New Roman" w:hAnsi="Times New Roman" w:cs="Times New Roman"/>
          <w:b/>
          <w:sz w:val="24"/>
          <w:szCs w:val="24"/>
        </w:rPr>
        <w:t>.</w:t>
      </w:r>
      <w:r w:rsidRPr="006E42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423F">
        <w:rPr>
          <w:rFonts w:ascii="Times New Roman" w:hAnsi="Times New Roman" w:cs="Times New Roman"/>
          <w:sz w:val="24"/>
          <w:szCs w:val="24"/>
        </w:rPr>
        <w:t xml:space="preserve">100% exchange water and cleaning of each pond was performed weekly. Oxygen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>(7.8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±</m:t>
        </m:r>
      </m:oMath>
      <w:r w:rsidRPr="006E423F">
        <w:rPr>
          <w:rFonts w:ascii="Times New Roman" w:eastAsiaTheme="minorEastAsia" w:hAnsi="Times New Roman" w:cs="Times New Roman"/>
          <w:sz w:val="24"/>
          <w:szCs w:val="24"/>
        </w:rPr>
        <w:t>3.7 mg/L) and temperature (28.2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±</m:t>
        </m:r>
      </m:oMath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5.9°C) </w:t>
      </w:r>
      <w:r w:rsidRPr="006E423F">
        <w:rPr>
          <w:rFonts w:ascii="Times New Roman" w:hAnsi="Times New Roman" w:cs="Times New Roman"/>
          <w:sz w:val="24"/>
          <w:szCs w:val="24"/>
        </w:rPr>
        <w:t>was recorded with a</w:t>
      </w:r>
      <w:r w:rsidR="00600690">
        <w:rPr>
          <w:rFonts w:ascii="Times New Roman" w:hAnsi="Times New Roman" w:cs="Times New Roman"/>
          <w:sz w:val="24"/>
          <w:szCs w:val="24"/>
        </w:rPr>
        <w:t>n</w:t>
      </w:r>
      <w:r w:rsidRPr="006E423F">
        <w:rPr>
          <w:rFonts w:ascii="Times New Roman" w:hAnsi="Times New Roman" w:cs="Times New Roman"/>
          <w:sz w:val="24"/>
          <w:szCs w:val="24"/>
        </w:rPr>
        <w:t xml:space="preserve"> oxygen meter (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>YSI</w:t>
      </w:r>
      <w:r w:rsidRPr="006E423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MR</w:t>
      </w:r>
      <w:r w:rsidR="00600690">
        <w:rPr>
          <w:rFonts w:ascii="Times New Roman" w:eastAsiaTheme="minorEastAsia" w:hAnsi="Times New Roman" w:cs="Times New Roman"/>
          <w:sz w:val="24"/>
          <w:szCs w:val="24"/>
        </w:rPr>
        <w:t xml:space="preserve"> model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55), pH (7.8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±</m:t>
        </m:r>
      </m:oMath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0.6) was recorded with a ph meter  (DENVER INSTRUMENT® ultraBASIC)  </w:t>
      </w:r>
    </w:p>
    <w:p w:rsidR="0028176E" w:rsidRPr="006E423F" w:rsidRDefault="0028176E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423F">
        <w:rPr>
          <w:rFonts w:ascii="Times New Roman" w:hAnsi="Times New Roman" w:cs="Times New Roman"/>
          <w:b/>
          <w:sz w:val="24"/>
          <w:szCs w:val="24"/>
        </w:rPr>
        <w:t>Proximal analysis</w:t>
      </w:r>
      <w:r w:rsidR="008B2449" w:rsidRPr="006E423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>At the beginning and at the end of the experiment a proximal analysis was performed using muscle tissue, was determined; protein content (</w:t>
      </w:r>
      <w:proofErr w:type="spellStart"/>
      <w:r w:rsidRPr="006E423F">
        <w:rPr>
          <w:rFonts w:ascii="Times New Roman" w:hAnsi="Times New Roman" w:cs="Times New Roman"/>
          <w:sz w:val="24"/>
          <w:szCs w:val="24"/>
        </w:rPr>
        <w:t>Microkjeldahl</w:t>
      </w:r>
      <w:proofErr w:type="spellEnd"/>
      <w:r w:rsidRPr="006E423F">
        <w:rPr>
          <w:rFonts w:ascii="Times New Roman" w:hAnsi="Times New Roman" w:cs="Times New Roman"/>
          <w:sz w:val="24"/>
          <w:szCs w:val="24"/>
        </w:rPr>
        <w:t xml:space="preserve"> % N x 6.25), lipids (</w:t>
      </w:r>
      <w:proofErr w:type="spellStart"/>
      <w:r w:rsidRPr="006E423F">
        <w:rPr>
          <w:rFonts w:ascii="Times New Roman" w:hAnsi="Times New Roman" w:cs="Times New Roman"/>
          <w:sz w:val="24"/>
          <w:szCs w:val="24"/>
        </w:rPr>
        <w:t>Soxtec</w:t>
      </w:r>
      <w:proofErr w:type="spellEnd"/>
      <w:r w:rsidRPr="006E423F">
        <w:rPr>
          <w:rFonts w:ascii="Times New Roman" w:hAnsi="Times New Roman" w:cs="Times New Roman"/>
          <w:sz w:val="24"/>
          <w:szCs w:val="24"/>
        </w:rPr>
        <w:t>-Avanti TECATOR), humidity (weight difference at 70°C/24 hours), ash (weight difference calcination at 500°C/24 hours), fiber (</w:t>
      </w:r>
      <w:proofErr w:type="spellStart"/>
      <w:r w:rsidRPr="006E423F">
        <w:rPr>
          <w:rFonts w:ascii="Times New Roman" w:hAnsi="Times New Roman" w:cs="Times New Roman"/>
          <w:sz w:val="24"/>
          <w:szCs w:val="24"/>
        </w:rPr>
        <w:t>hydr</w:t>
      </w:r>
      <w:r w:rsidR="00600690">
        <w:rPr>
          <w:rFonts w:ascii="Times New Roman" w:hAnsi="Times New Roman" w:cs="Times New Roman"/>
          <w:sz w:val="24"/>
          <w:szCs w:val="24"/>
        </w:rPr>
        <w:t>olisis</w:t>
      </w:r>
      <w:proofErr w:type="spellEnd"/>
      <w:r w:rsidR="00600690">
        <w:rPr>
          <w:rFonts w:ascii="Times New Roman" w:hAnsi="Times New Roman" w:cs="Times New Roman"/>
          <w:sz w:val="24"/>
          <w:szCs w:val="24"/>
        </w:rPr>
        <w:t xml:space="preserve"> </w:t>
      </w:r>
      <w:r w:rsidR="00600690">
        <w:rPr>
          <w:rFonts w:ascii="Times New Roman" w:hAnsi="Times New Roman" w:cs="Times New Roman"/>
          <w:sz w:val="24"/>
          <w:szCs w:val="24"/>
        </w:rPr>
        <w:t>acid/base</w:t>
      </w:r>
      <w:r w:rsidR="00600690">
        <w:rPr>
          <w:rFonts w:ascii="Times New Roman" w:hAnsi="Times New Roman" w:cs="Times New Roman"/>
          <w:sz w:val="24"/>
          <w:szCs w:val="24"/>
        </w:rPr>
        <w:t xml:space="preserve"> method</w:t>
      </w:r>
      <w:r w:rsidRPr="006E423F">
        <w:rPr>
          <w:rFonts w:ascii="Times New Roman" w:hAnsi="Times New Roman" w:cs="Times New Roman"/>
          <w:sz w:val="24"/>
          <w:szCs w:val="24"/>
        </w:rPr>
        <w:t xml:space="preserve">) and energy (calorimeter determination)  </w:t>
      </w:r>
    </w:p>
    <w:p w:rsidR="0028176E" w:rsidRPr="006E423F" w:rsidRDefault="0028176E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Twelve fish were sampled at the beginning of the experiment with an average weight of </w:t>
      </w:r>
      <w:r w:rsidRPr="006E423F">
        <w:rPr>
          <w:rFonts w:ascii="Times New Roman" w:hAnsi="Times New Roman" w:cs="Times New Roman"/>
          <w:sz w:val="24"/>
          <w:szCs w:val="24"/>
        </w:rPr>
        <w:t>90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</m:oMath>
      <w:r w:rsidRPr="006E423F">
        <w:rPr>
          <w:rFonts w:ascii="Times New Roman" w:hAnsi="Times New Roman" w:cs="Times New Roman"/>
          <w:sz w:val="24"/>
          <w:szCs w:val="24"/>
        </w:rPr>
        <w:t>6 g and a total length of 26.6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</m:oMath>
      <w:r w:rsidRPr="006E423F">
        <w:rPr>
          <w:rFonts w:ascii="Times New Roman" w:hAnsi="Times New Roman" w:cs="Times New Roman"/>
          <w:sz w:val="24"/>
          <w:szCs w:val="24"/>
        </w:rPr>
        <w:t>0.5 cm, muscle was obtained from dorsal area and then lyophilize</w:t>
      </w:r>
      <w:r w:rsidR="00600690">
        <w:rPr>
          <w:rFonts w:ascii="Times New Roman" w:hAnsi="Times New Roman" w:cs="Times New Roman"/>
          <w:sz w:val="24"/>
          <w:szCs w:val="24"/>
        </w:rPr>
        <w:t>d</w:t>
      </w:r>
      <w:r w:rsidRPr="006E423F">
        <w:rPr>
          <w:rFonts w:ascii="Times New Roman" w:hAnsi="Times New Roman" w:cs="Times New Roman"/>
          <w:sz w:val="24"/>
          <w:szCs w:val="24"/>
        </w:rPr>
        <w:t>. At the end of the experiment 15 fish were sample</w:t>
      </w:r>
      <w:r w:rsidR="00600690">
        <w:rPr>
          <w:rFonts w:ascii="Times New Roman" w:hAnsi="Times New Roman" w:cs="Times New Roman"/>
          <w:sz w:val="24"/>
          <w:szCs w:val="24"/>
        </w:rPr>
        <w:t>d from Su</w:t>
      </w:r>
      <w:r w:rsidRPr="006E423F">
        <w:rPr>
          <w:rFonts w:ascii="Times New Roman" w:hAnsi="Times New Roman" w:cs="Times New Roman"/>
          <w:sz w:val="24"/>
          <w:szCs w:val="24"/>
        </w:rPr>
        <w:t>per® feed (421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</m:oMath>
      <w:r w:rsidRPr="006E423F">
        <w:rPr>
          <w:rFonts w:ascii="Times New Roman" w:hAnsi="Times New Roman" w:cs="Times New Roman"/>
          <w:sz w:val="24"/>
          <w:szCs w:val="24"/>
        </w:rPr>
        <w:t>40 g and 41.3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</m:oMath>
      <w:r w:rsidRPr="006E423F">
        <w:rPr>
          <w:rFonts w:ascii="Times New Roman" w:hAnsi="Times New Roman" w:cs="Times New Roman"/>
          <w:sz w:val="24"/>
          <w:szCs w:val="24"/>
        </w:rPr>
        <w:t>1.24 cm) and 15 fish from Silver Cup® feed (454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</m:oMath>
      <w:r w:rsidRPr="006E423F">
        <w:rPr>
          <w:rFonts w:ascii="Times New Roman" w:hAnsi="Times New Roman" w:cs="Times New Roman"/>
          <w:sz w:val="24"/>
          <w:szCs w:val="24"/>
        </w:rPr>
        <w:t>58 g y 42.3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</m:oMath>
      <w:r w:rsidRPr="006E423F">
        <w:rPr>
          <w:rFonts w:ascii="Times New Roman" w:hAnsi="Times New Roman" w:cs="Times New Roman"/>
          <w:sz w:val="24"/>
          <w:szCs w:val="24"/>
        </w:rPr>
        <w:t>1.72 cm). The lyophilized samples were send to CIBNOR (Centro de Investigaciones Biológicas del Noroeste) at Baja California Sur, México,</w:t>
      </w:r>
      <w:r w:rsidR="00600690">
        <w:rPr>
          <w:rFonts w:ascii="Times New Roman" w:hAnsi="Times New Roman" w:cs="Times New Roman"/>
          <w:sz w:val="24"/>
          <w:szCs w:val="24"/>
        </w:rPr>
        <w:t xml:space="preserve"> for proximal analysis,</w:t>
      </w:r>
      <w:r w:rsidRPr="006E423F">
        <w:rPr>
          <w:rFonts w:ascii="Times New Roman" w:hAnsi="Times New Roman" w:cs="Times New Roman"/>
          <w:sz w:val="24"/>
          <w:szCs w:val="24"/>
        </w:rPr>
        <w:t xml:space="preserve"> following method described by A.O.A.C. (1995).       </w:t>
      </w:r>
    </w:p>
    <w:p w:rsidR="0028176E" w:rsidRPr="006E423F" w:rsidRDefault="0028176E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b/>
          <w:sz w:val="24"/>
          <w:szCs w:val="24"/>
        </w:rPr>
        <w:t>Investment</w:t>
      </w:r>
      <w:r w:rsidR="008B2449" w:rsidRPr="006E423F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600690" w:rsidRPr="006E423F">
        <w:rPr>
          <w:rFonts w:ascii="Times New Roman" w:eastAsiaTheme="minorEastAsia" w:hAnsi="Times New Roman" w:cs="Times New Roman"/>
          <w:sz w:val="24"/>
          <w:szCs w:val="24"/>
        </w:rPr>
        <w:t>necessary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investment to implement a</w:t>
      </w:r>
      <w:r w:rsidR="00600690">
        <w:rPr>
          <w:rFonts w:ascii="Times New Roman" w:eastAsiaTheme="minorEastAsia" w:hAnsi="Times New Roman" w:cs="Times New Roman"/>
          <w:sz w:val="24"/>
          <w:szCs w:val="24"/>
        </w:rPr>
        <w:t>n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economically sustainable culture was estimated for a </w:t>
      </w:r>
      <w:r w:rsidR="00600690" w:rsidRPr="006E423F">
        <w:rPr>
          <w:rFonts w:ascii="Times New Roman" w:eastAsiaTheme="minorEastAsia" w:hAnsi="Times New Roman" w:cs="Times New Roman"/>
          <w:sz w:val="24"/>
          <w:szCs w:val="24"/>
        </w:rPr>
        <w:t>minimum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of six tanks of 6 m diameter (35 m</w:t>
      </w:r>
      <w:r w:rsidRPr="006E423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), with a capacity of 3,600 fish (600 per tank) and two production cycles per year. Was estimated the cost of two water pumps, </w:t>
      </w:r>
      <w:r w:rsidR="00600690">
        <w:rPr>
          <w:rFonts w:ascii="Times New Roman" w:eastAsiaTheme="minorEastAsia" w:hAnsi="Times New Roman" w:cs="Times New Roman"/>
          <w:sz w:val="24"/>
          <w:szCs w:val="24"/>
        </w:rPr>
        <w:t>a water well, a concrete pond for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water storage, hydraulic material, l</w:t>
      </w:r>
      <w:r w:rsidR="00600690">
        <w:rPr>
          <w:rFonts w:ascii="Times New Roman" w:eastAsiaTheme="minorEastAsia" w:hAnsi="Times New Roman" w:cs="Times New Roman"/>
          <w:sz w:val="24"/>
          <w:szCs w:val="24"/>
        </w:rPr>
        <w:t>a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nd preparation, electric plant and set up. </w:t>
      </w:r>
      <w:r w:rsidR="00600690" w:rsidRPr="006E423F">
        <w:rPr>
          <w:rFonts w:ascii="Times New Roman" w:eastAsiaTheme="minorEastAsia" w:hAnsi="Times New Roman" w:cs="Times New Roman"/>
          <w:sz w:val="24"/>
          <w:szCs w:val="24"/>
        </w:rPr>
        <w:t>Finally,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the land cost was estimated according to agriculture land cost (12.68 USD/ m</w:t>
      </w:r>
      <w:r w:rsidRPr="006E423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>) for 500 m</w:t>
      </w:r>
      <w:r w:rsidRPr="006E423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6E423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     </w:t>
      </w:r>
    </w:p>
    <w:p w:rsidR="0028176E" w:rsidRPr="006E423F" w:rsidRDefault="0028176E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b/>
          <w:sz w:val="24"/>
          <w:szCs w:val="24"/>
        </w:rPr>
        <w:t>Profit and Costs</w:t>
      </w:r>
      <w:r w:rsidR="008B2449" w:rsidRPr="006E423F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Operational costs were defined as fixed and variable costs, was estimated a cost per tropical fish, for each diet. Fixed costs </w:t>
      </w:r>
      <w:r w:rsidRPr="006E423F">
        <w:rPr>
          <w:rFonts w:ascii="Times New Roman" w:hAnsi="Times New Roman" w:cs="Times New Roman"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</m:oMath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) are the depreciation of the investment (calculated over the 5% of the annual investment), for example the cost of the fry. Variable costs were calculated depending on the culture time or the biomass. Costs depending on culture time were: labor </w:t>
      </w:r>
      <w:r w:rsidRPr="006E423F">
        <w:rPr>
          <w:rFonts w:ascii="Times New Roman" w:hAnsi="Times New Roman" w:cs="Times New Roman"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</m:oMath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), calculated accordint to the dayli minimun salary in Mexico, published in the Diario Oficial de la </w:t>
      </w:r>
      <w:proofErr w:type="spellStart"/>
      <w:r w:rsidRPr="006E423F">
        <w:rPr>
          <w:rFonts w:ascii="Times New Roman" w:eastAsiaTheme="minorEastAsia" w:hAnsi="Times New Roman" w:cs="Times New Roman"/>
          <w:sz w:val="24"/>
          <w:szCs w:val="24"/>
        </w:rPr>
        <w:t>Federación</w:t>
      </w:r>
      <w:proofErr w:type="spellEnd"/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(4.23 USD) multipl</w:t>
      </w:r>
      <w:r w:rsidR="00D70992">
        <w:rPr>
          <w:rFonts w:ascii="Times New Roman" w:eastAsiaTheme="minorEastAsia" w:hAnsi="Times New Roman" w:cs="Times New Roman"/>
          <w:sz w:val="24"/>
          <w:szCs w:val="24"/>
        </w:rPr>
        <w:t>ied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for worked days and number of workers (1 worker per 6 tanks is enough), energy costs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sub>
        </m:sSub>
      </m:oMath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),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lastRenderedPageBreak/>
        <w:t>calculated estimating the use in Kwh from the pump and ilumination, veterinary costs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sub>
        </m:sSub>
      </m:oMath>
      <w:r w:rsidRPr="006E423F">
        <w:rPr>
          <w:rFonts w:ascii="Times New Roman" w:eastAsiaTheme="minorEastAsia" w:hAnsi="Times New Roman" w:cs="Times New Roman"/>
          <w:sz w:val="24"/>
          <w:szCs w:val="24"/>
        </w:rPr>
        <w:t>) material for preventing biological risks during culture. Feeding cost were the only costs depending on biomass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sub>
        </m:sSub>
      </m:oMath>
      <w:r w:rsidRPr="006E423F">
        <w:rPr>
          <w:rFonts w:ascii="Times New Roman" w:eastAsiaTheme="minorEastAsia" w:hAnsi="Times New Roman" w:cs="Times New Roman"/>
          <w:sz w:val="24"/>
          <w:szCs w:val="24"/>
        </w:rPr>
        <w:t>), which depended of the daily feed amount</w:t>
      </w:r>
      <w:r w:rsidR="00785EEE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spellStart"/>
      <w:r w:rsidR="00785EEE" w:rsidRPr="006E423F">
        <w:rPr>
          <w:rFonts w:ascii="Times New Roman" w:eastAsiaTheme="minorEastAsia" w:hAnsi="Times New Roman" w:cs="Times New Roman"/>
          <w:sz w:val="24"/>
          <w:szCs w:val="24"/>
        </w:rPr>
        <w:t>Poot-López</w:t>
      </w:r>
      <w:proofErr w:type="spellEnd"/>
      <w:r w:rsidR="00785EEE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85EEE" w:rsidRPr="00786930">
        <w:rPr>
          <w:rFonts w:ascii="Times New Roman" w:eastAsiaTheme="minorEastAsia" w:hAnsi="Times New Roman" w:cs="Times New Roman"/>
          <w:i/>
          <w:sz w:val="24"/>
          <w:szCs w:val="24"/>
        </w:rPr>
        <w:t>et al</w:t>
      </w:r>
      <w:r w:rsidR="00785EEE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., 2014)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28176E" w:rsidRPr="006E423F" w:rsidRDefault="0028176E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Total costs were estimated following:        </w:t>
      </w:r>
    </w:p>
    <w:p w:rsidR="0028176E" w:rsidRPr="006E423F" w:rsidRDefault="0028176E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28176E" w:rsidRPr="006E423F" w:rsidRDefault="0028176E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Tc=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</m:sSub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(T)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ω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(ω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</w:rPr>
            <m:t>dω</m:t>
          </m:r>
        </m:oMath>
      </m:oMathPara>
    </w:p>
    <w:p w:rsidR="00A81B0C" w:rsidRPr="006E423F" w:rsidRDefault="00A81B0C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A81B0C" w:rsidRPr="006E423F" w:rsidRDefault="00F6391D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sz w:val="24"/>
          <w:szCs w:val="24"/>
        </w:rPr>
        <w:t>Income</w:t>
      </w:r>
      <w:r w:rsidR="00A81B0C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were calculated according to the total biomass produced 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W</m:t>
        </m:r>
      </m:oMath>
      <w:r w:rsidR="00A81B0C" w:rsidRPr="006E423F">
        <w:rPr>
          <w:rFonts w:ascii="Times New Roman" w:eastAsiaTheme="minorEastAsia" w:hAnsi="Times New Roman" w:cs="Times New Roman"/>
          <w:sz w:val="24"/>
          <w:szCs w:val="24"/>
        </w:rPr>
        <w:t>) multiplied by the annual average cost per kilogram of fish 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</m:t>
        </m:r>
      </m:oMath>
      <w:r w:rsidR="00A81B0C" w:rsidRPr="006E423F">
        <w:rPr>
          <w:rFonts w:ascii="Times New Roman" w:eastAsiaTheme="minorEastAsia" w:hAnsi="Times New Roman" w:cs="Times New Roman"/>
          <w:sz w:val="24"/>
          <w:szCs w:val="24"/>
        </w:rPr>
        <w:t>) in Tabasco. The value of the produced biomass (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>income</w:t>
      </w:r>
      <w:r w:rsidR="00A81B0C" w:rsidRPr="006E423F">
        <w:rPr>
          <w:rFonts w:ascii="Times New Roman" w:eastAsiaTheme="minorEastAsia" w:hAnsi="Times New Roman" w:cs="Times New Roman"/>
          <w:sz w:val="24"/>
          <w:szCs w:val="24"/>
        </w:rPr>
        <w:t>) was calculated with the following equation</w:t>
      </w:r>
      <w:r w:rsidR="00785EEE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spellStart"/>
      <w:r w:rsidR="00785EEE" w:rsidRPr="006E423F">
        <w:rPr>
          <w:rFonts w:ascii="Times New Roman" w:eastAsiaTheme="minorEastAsia" w:hAnsi="Times New Roman" w:cs="Times New Roman"/>
          <w:sz w:val="24"/>
          <w:szCs w:val="24"/>
        </w:rPr>
        <w:t>Poot-López</w:t>
      </w:r>
      <w:proofErr w:type="spellEnd"/>
      <w:r w:rsidR="00785EEE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85EEE" w:rsidRPr="00786930">
        <w:rPr>
          <w:rFonts w:ascii="Times New Roman" w:eastAsiaTheme="minorEastAsia" w:hAnsi="Times New Roman" w:cs="Times New Roman"/>
          <w:i/>
          <w:sz w:val="24"/>
          <w:szCs w:val="24"/>
        </w:rPr>
        <w:t>et al</w:t>
      </w:r>
      <w:r w:rsidR="00785EEE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., 2014):  </w:t>
      </w:r>
      <w:r w:rsidR="00A81B0C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A81B0C" w:rsidRPr="006E423F" w:rsidRDefault="00A81B0C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Tv=p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sub>
              </m:sSub>
            </m:e>
          </m:d>
        </m:oMath>
      </m:oMathPara>
    </w:p>
    <w:p w:rsidR="00A81B0C" w:rsidRPr="006E423F" w:rsidRDefault="00A81B0C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With the individual cost per fish, a unitary production cost was </w:t>
      </w:r>
      <w:r w:rsidR="00785EEE" w:rsidRPr="006E423F">
        <w:rPr>
          <w:rFonts w:ascii="Times New Roman" w:eastAsiaTheme="minorEastAsia" w:hAnsi="Times New Roman" w:cs="Times New Roman"/>
          <w:sz w:val="24"/>
          <w:szCs w:val="24"/>
        </w:rPr>
        <w:t>projected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over a 3600 fish production. </w:t>
      </w:r>
      <w:r w:rsidR="00546B09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Further analysis was performed for the investment cost for this production. </w:t>
      </w:r>
    </w:p>
    <w:p w:rsidR="00D5040F" w:rsidRPr="006E423F" w:rsidRDefault="00546B09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b/>
          <w:sz w:val="24"/>
          <w:szCs w:val="24"/>
        </w:rPr>
        <w:t>Net present va</w:t>
      </w:r>
      <w:r w:rsidR="008B2449" w:rsidRPr="006E423F">
        <w:rPr>
          <w:rFonts w:ascii="Times New Roman" w:eastAsiaTheme="minorEastAsia" w:hAnsi="Times New Roman" w:cs="Times New Roman"/>
          <w:b/>
          <w:sz w:val="24"/>
          <w:szCs w:val="24"/>
        </w:rPr>
        <w:t xml:space="preserve">lue and internal rate of return. </w:t>
      </w:r>
      <w:r w:rsidR="00D31961" w:rsidRPr="006E423F">
        <w:rPr>
          <w:rFonts w:ascii="Times New Roman" w:eastAsiaTheme="minorEastAsia" w:hAnsi="Times New Roman" w:cs="Times New Roman"/>
          <w:sz w:val="24"/>
          <w:szCs w:val="24"/>
        </w:rPr>
        <w:t>The net present value 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NPV</m:t>
        </m:r>
      </m:oMath>
      <w:r w:rsidR="00D31961" w:rsidRPr="006E423F">
        <w:rPr>
          <w:rFonts w:ascii="Times New Roman" w:eastAsiaTheme="minorEastAsia" w:hAnsi="Times New Roman" w:cs="Times New Roman"/>
          <w:sz w:val="24"/>
          <w:szCs w:val="24"/>
        </w:rPr>
        <w:t>) was calculated with the annual net cash flow 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NCF</m:t>
        </m:r>
      </m:oMath>
      <w:r w:rsidR="00D31961" w:rsidRPr="006E423F">
        <w:rPr>
          <w:rFonts w:ascii="Times New Roman" w:eastAsiaTheme="minorEastAsia" w:hAnsi="Times New Roman" w:cs="Times New Roman"/>
          <w:sz w:val="24"/>
          <w:szCs w:val="24"/>
        </w:rPr>
        <w:t>) caclculated for ten years (investment depreciation time), using a discount rate 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i</m:t>
        </m:r>
      </m:oMath>
      <w:r w:rsidR="00D31961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) of 10%. The following formula was used for the NPV calculation (Barry &amp; Ellinger, 2010; Kay </w:t>
      </w:r>
      <w:r w:rsidR="00D31961" w:rsidRPr="00786930">
        <w:rPr>
          <w:rFonts w:ascii="Times New Roman" w:eastAsiaTheme="minorEastAsia" w:hAnsi="Times New Roman" w:cs="Times New Roman"/>
          <w:i/>
          <w:sz w:val="24"/>
          <w:szCs w:val="24"/>
        </w:rPr>
        <w:t>et al</w:t>
      </w:r>
      <w:r w:rsidR="00D31961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., 2012):     </w:t>
      </w:r>
    </w:p>
    <w:p w:rsidR="00D31961" w:rsidRPr="006E423F" w:rsidRDefault="00D31961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NPV=-INV+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t=1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NCF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t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1+i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t</m:t>
                      </m:r>
                    </m:sup>
                  </m:sSup>
                </m:den>
              </m:f>
            </m:e>
          </m:nary>
        </m:oMath>
      </m:oMathPara>
    </w:p>
    <w:p w:rsidR="00D31961" w:rsidRPr="006E423F" w:rsidRDefault="00D31961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INV</m:t>
        </m:r>
      </m:oMath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are the total costs of the initial investment and T is total time of the project. The cost-benefit relation 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C/B</m:t>
        </m:r>
      </m:oMath>
      <w:r w:rsidRPr="006E423F">
        <w:rPr>
          <w:rFonts w:ascii="Times New Roman" w:eastAsiaTheme="minorEastAsia" w:hAnsi="Times New Roman" w:cs="Times New Roman"/>
          <w:sz w:val="24"/>
          <w:szCs w:val="24"/>
        </w:rPr>
        <w:t>) was estimated with</w:t>
      </w:r>
      <w:r w:rsidR="006056FF">
        <w:rPr>
          <w:rFonts w:ascii="Times New Roman" w:eastAsiaTheme="minorEastAsia" w:hAnsi="Times New Roman" w:cs="Times New Roman"/>
          <w:sz w:val="24"/>
          <w:szCs w:val="24"/>
        </w:rPr>
        <w:t xml:space="preserve"> the following equation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(Kay </w:t>
      </w:r>
      <w:r w:rsidRPr="00786930">
        <w:rPr>
          <w:rFonts w:ascii="Times New Roman" w:eastAsiaTheme="minorEastAsia" w:hAnsi="Times New Roman" w:cs="Times New Roman"/>
          <w:i/>
          <w:sz w:val="24"/>
          <w:szCs w:val="24"/>
        </w:rPr>
        <w:t>et al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., 2012):    </w:t>
      </w:r>
    </w:p>
    <w:p w:rsidR="00D31961" w:rsidRPr="006E423F" w:rsidRDefault="00852106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B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t=1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sup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Vt(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1-r)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-t</m:t>
                  </m:r>
                </m:sup>
              </m:sSup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</w:rPr>
            <m:t>/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t=1</m:t>
              </m:r>
            </m:sub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sup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Ct</m:t>
              </m:r>
            </m:e>
          </m:nary>
          <m:r>
            <w:rPr>
              <w:rFonts w:ascii="Cambria Math" w:eastAsiaTheme="minorEastAsia" w:hAnsi="Cambria Math" w:cs="Times New Roman"/>
              <w:sz w:val="24"/>
              <w:szCs w:val="24"/>
            </w:rPr>
            <m:t>(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1-r)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-t</m:t>
              </m:r>
            </m:sup>
          </m:sSup>
        </m:oMath>
      </m:oMathPara>
    </w:p>
    <w:p w:rsidR="0011715A" w:rsidRPr="006E423F" w:rsidRDefault="0011715A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The internal rate of return (IRR) was calculated when NPV = 0. Finally, NPV, C/B and IRR were compared for each treatment. </w:t>
      </w:r>
    </w:p>
    <w:p w:rsidR="004F445F" w:rsidRPr="006E423F" w:rsidRDefault="008B2449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b/>
          <w:sz w:val="24"/>
          <w:szCs w:val="24"/>
        </w:rPr>
        <w:t xml:space="preserve">Statistical analysis. </w:t>
      </w:r>
      <w:r w:rsidR="004F445F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Obtained data were analyzed in order to fulfill normality </w:t>
      </w:r>
      <w:r w:rsidR="004F445F" w:rsidRPr="006E423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F445F" w:rsidRPr="006E423F">
        <w:rPr>
          <w:rFonts w:ascii="Times New Roman" w:hAnsi="Times New Roman" w:cs="Times New Roman"/>
          <w:sz w:val="24"/>
          <w:szCs w:val="24"/>
        </w:rPr>
        <w:t>Kolmogorow</w:t>
      </w:r>
      <w:proofErr w:type="spellEnd"/>
      <w:r w:rsidR="004F445F" w:rsidRPr="006E423F">
        <w:rPr>
          <w:rFonts w:ascii="Times New Roman" w:hAnsi="Times New Roman" w:cs="Times New Roman"/>
          <w:sz w:val="24"/>
          <w:szCs w:val="24"/>
        </w:rPr>
        <w:t>-Smirnov)</w:t>
      </w:r>
      <w:r w:rsidR="004F445F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and variance </w:t>
      </w:r>
      <w:proofErr w:type="spellStart"/>
      <w:r w:rsidR="004F445F" w:rsidRPr="006E423F">
        <w:rPr>
          <w:rFonts w:ascii="Times New Roman" w:eastAsiaTheme="minorEastAsia" w:hAnsi="Times New Roman" w:cs="Times New Roman"/>
          <w:sz w:val="24"/>
          <w:szCs w:val="24"/>
        </w:rPr>
        <w:t>homocedasticity</w:t>
      </w:r>
      <w:proofErr w:type="spellEnd"/>
      <w:r w:rsidR="004F445F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C2FB8" w:rsidRPr="006E423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C2FB8" w:rsidRPr="006E423F">
        <w:rPr>
          <w:rFonts w:ascii="Times New Roman" w:hAnsi="Times New Roman" w:cs="Times New Roman"/>
          <w:sz w:val="24"/>
          <w:szCs w:val="24"/>
        </w:rPr>
        <w:t>Levene</w:t>
      </w:r>
      <w:proofErr w:type="spellEnd"/>
      <w:r w:rsidR="003C2FB8" w:rsidRPr="006E423F">
        <w:rPr>
          <w:rFonts w:ascii="Times New Roman" w:hAnsi="Times New Roman" w:cs="Times New Roman"/>
          <w:sz w:val="24"/>
          <w:szCs w:val="24"/>
        </w:rPr>
        <w:t xml:space="preserve">) using weight and length in a t student analysis, </w:t>
      </w:r>
      <w:r w:rsidR="0021369D" w:rsidRPr="006E423F">
        <w:rPr>
          <w:rFonts w:ascii="Times New Roman" w:hAnsi="Times New Roman" w:cs="Times New Roman"/>
          <w:sz w:val="24"/>
          <w:szCs w:val="24"/>
        </w:rPr>
        <w:t xml:space="preserve">survival was analyzed with square chi. </w:t>
      </w:r>
      <w:r w:rsidR="00F65668" w:rsidRPr="006E423F">
        <w:rPr>
          <w:rFonts w:ascii="Times New Roman" w:hAnsi="Times New Roman" w:cs="Times New Roman"/>
          <w:sz w:val="24"/>
          <w:szCs w:val="24"/>
        </w:rPr>
        <w:t>All</w:t>
      </w:r>
      <w:r w:rsidR="0021369D" w:rsidRPr="006E423F">
        <w:rPr>
          <w:rFonts w:ascii="Times New Roman" w:hAnsi="Times New Roman" w:cs="Times New Roman"/>
          <w:sz w:val="24"/>
          <w:szCs w:val="24"/>
        </w:rPr>
        <w:t xml:space="preserve"> statistics was performed using </w:t>
      </w:r>
      <w:proofErr w:type="spellStart"/>
      <w:r w:rsidR="0021369D" w:rsidRPr="006E423F">
        <w:rPr>
          <w:rFonts w:ascii="Times New Roman" w:hAnsi="Times New Roman" w:cs="Times New Roman"/>
          <w:sz w:val="24"/>
          <w:szCs w:val="24"/>
        </w:rPr>
        <w:t>Statistica</w:t>
      </w:r>
      <w:proofErr w:type="spellEnd"/>
      <w:r w:rsidR="0021369D" w:rsidRPr="006E423F">
        <w:rPr>
          <w:rFonts w:ascii="Times New Roman" w:hAnsi="Times New Roman" w:cs="Times New Roman"/>
          <w:sz w:val="24"/>
          <w:szCs w:val="24"/>
        </w:rPr>
        <w:t xml:space="preserve"> software v10, </w:t>
      </w:r>
      <m:oMath>
        <m:r>
          <w:rPr>
            <w:rFonts w:ascii="Cambria Math" w:hAnsi="Cambria Math" w:cs="Times New Roman"/>
            <w:sz w:val="24"/>
            <w:szCs w:val="24"/>
          </w:rPr>
          <m:t>α=0.05.</m:t>
        </m:r>
      </m:oMath>
      <w:r w:rsidR="0021369D" w:rsidRPr="006E423F">
        <w:rPr>
          <w:rFonts w:ascii="Times New Roman" w:hAnsi="Times New Roman" w:cs="Times New Roman"/>
          <w:sz w:val="24"/>
          <w:szCs w:val="24"/>
        </w:rPr>
        <w:t xml:space="preserve"> </w:t>
      </w:r>
      <w:r w:rsidR="003C2FB8" w:rsidRPr="006E423F">
        <w:rPr>
          <w:rFonts w:ascii="Times New Roman" w:hAnsi="Times New Roman" w:cs="Times New Roman"/>
          <w:sz w:val="24"/>
          <w:szCs w:val="24"/>
        </w:rPr>
        <w:t xml:space="preserve"> </w:t>
      </w:r>
      <w:r w:rsidR="004F445F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8B2449" w:rsidRPr="006E423F" w:rsidRDefault="008B2449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11715A" w:rsidRPr="006E423F" w:rsidRDefault="008B2449" w:rsidP="008B244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Results</w:t>
      </w:r>
    </w:p>
    <w:p w:rsidR="0021369D" w:rsidRPr="006E423F" w:rsidRDefault="0021369D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b/>
          <w:sz w:val="24"/>
          <w:szCs w:val="24"/>
        </w:rPr>
        <w:t>Growth and survival</w:t>
      </w:r>
      <w:r w:rsidR="008B2449" w:rsidRPr="006E423F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Pr="006E423F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Growth results showed a significant </w:t>
      </w:r>
      <w:r w:rsidR="00F65668" w:rsidRPr="006E423F">
        <w:rPr>
          <w:rFonts w:ascii="Times New Roman" w:eastAsiaTheme="minorEastAsia" w:hAnsi="Times New Roman" w:cs="Times New Roman"/>
          <w:sz w:val="24"/>
          <w:szCs w:val="24"/>
        </w:rPr>
        <w:t>difference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among treatments (P&lt;0.05)</w:t>
      </w:r>
      <w:r w:rsidR="008E4387">
        <w:rPr>
          <w:rFonts w:ascii="Times New Roman" w:eastAsiaTheme="minorEastAsia" w:hAnsi="Times New Roman" w:cs="Times New Roman"/>
          <w:sz w:val="24"/>
          <w:szCs w:val="24"/>
        </w:rPr>
        <w:t>. T</w:t>
      </w:r>
      <w:r w:rsidR="00767C9A" w:rsidRPr="006E423F">
        <w:rPr>
          <w:rFonts w:ascii="Times New Roman" w:eastAsiaTheme="minorEastAsia" w:hAnsi="Times New Roman" w:cs="Times New Roman"/>
          <w:sz w:val="24"/>
          <w:szCs w:val="24"/>
        </w:rPr>
        <w:t>he final average weight was 450.29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±</m:t>
        </m:r>
      </m:oMath>
      <w:r w:rsidR="00767C9A" w:rsidRPr="006E423F">
        <w:rPr>
          <w:rFonts w:ascii="Times New Roman" w:eastAsiaTheme="minorEastAsia" w:hAnsi="Times New Roman" w:cs="Times New Roman"/>
          <w:sz w:val="24"/>
          <w:szCs w:val="24"/>
        </w:rPr>
        <w:t>5.36 g for Silver Cup® and 415.05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±</m:t>
        </m:r>
      </m:oMath>
      <w:r w:rsidR="00767C9A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5.38 g for </w:t>
      </w:r>
      <w:r w:rsidR="002332E8">
        <w:rPr>
          <w:rFonts w:ascii="Times New Roman" w:eastAsiaTheme="minorEastAsia" w:hAnsi="Times New Roman" w:cs="Times New Roman"/>
          <w:sz w:val="24"/>
          <w:szCs w:val="24"/>
        </w:rPr>
        <w:t xml:space="preserve">Super® </w:t>
      </w:r>
      <w:r w:rsidR="00767C9A" w:rsidRPr="006E423F">
        <w:rPr>
          <w:rFonts w:ascii="Times New Roman" w:eastAsiaTheme="minorEastAsia" w:hAnsi="Times New Roman" w:cs="Times New Roman"/>
          <w:sz w:val="24"/>
          <w:szCs w:val="24"/>
        </w:rPr>
        <w:t>(Fig. 1).</w:t>
      </w:r>
      <w:r w:rsidR="001E7F78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Length also showed significance differences (P&lt;0.05) from the first to the fifth month. Although the two final months were not statistical different. The final average length was 41.7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±</m:t>
        </m:r>
      </m:oMath>
      <w:r w:rsidR="001E7F78" w:rsidRPr="006E423F">
        <w:rPr>
          <w:rFonts w:ascii="Times New Roman" w:eastAsiaTheme="minorEastAsia" w:hAnsi="Times New Roman" w:cs="Times New Roman"/>
          <w:sz w:val="24"/>
          <w:szCs w:val="24"/>
        </w:rPr>
        <w:t>1.81 cm for Silver Cup® and 41.4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±</m:t>
        </m:r>
      </m:oMath>
      <w:r w:rsidR="001E7F78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1.57 cm for </w:t>
      </w:r>
      <w:r w:rsidR="002332E8">
        <w:rPr>
          <w:rFonts w:ascii="Times New Roman" w:eastAsiaTheme="minorEastAsia" w:hAnsi="Times New Roman" w:cs="Times New Roman"/>
          <w:sz w:val="24"/>
          <w:szCs w:val="24"/>
        </w:rPr>
        <w:t xml:space="preserve">Super® </w:t>
      </w:r>
      <w:r w:rsidR="001E7F78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(Fig. 2). Survival was 98.7% for both with no statistical differences.      </w:t>
      </w:r>
      <w:r w:rsidR="00767C9A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1E7F78" w:rsidRPr="006E423F" w:rsidRDefault="001E7F78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b/>
          <w:sz w:val="24"/>
          <w:szCs w:val="24"/>
        </w:rPr>
        <w:t>Proximal analysis</w:t>
      </w:r>
      <w:r w:rsidR="008B2449" w:rsidRPr="006E423F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="008E4387">
        <w:rPr>
          <w:rFonts w:ascii="Times New Roman" w:eastAsiaTheme="minorEastAsia" w:hAnsi="Times New Roman" w:cs="Times New Roman"/>
          <w:sz w:val="24"/>
          <w:szCs w:val="24"/>
        </w:rPr>
        <w:t>Proximal analysis of</w:t>
      </w:r>
      <w:r w:rsidR="005C297E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tropical gar muscle tissue at the end of the experiment showed significant differences among treatments (P&lt;0.05), except for ash and fiber content (Table 1). The greatest protein content </w:t>
      </w:r>
      <w:r w:rsidR="00F65668" w:rsidRPr="006E423F">
        <w:rPr>
          <w:rFonts w:ascii="Times New Roman" w:eastAsiaTheme="minorEastAsia" w:hAnsi="Times New Roman" w:cs="Times New Roman"/>
          <w:sz w:val="24"/>
          <w:szCs w:val="24"/>
        </w:rPr>
        <w:t>was</w:t>
      </w:r>
      <w:r w:rsidR="005C297E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found in fish fed with </w:t>
      </w:r>
      <w:r w:rsidR="00AB2D2D" w:rsidRPr="006E423F">
        <w:rPr>
          <w:rFonts w:ascii="Times New Roman" w:eastAsiaTheme="minorEastAsia" w:hAnsi="Times New Roman" w:cs="Times New Roman"/>
          <w:sz w:val="24"/>
          <w:szCs w:val="24"/>
        </w:rPr>
        <w:t>Super</w:t>
      </w:r>
      <w:r w:rsidR="005C297E" w:rsidRPr="006E423F">
        <w:rPr>
          <w:rFonts w:ascii="Times New Roman" w:eastAsiaTheme="minorEastAsia" w:hAnsi="Times New Roman" w:cs="Times New Roman"/>
          <w:sz w:val="24"/>
          <w:szCs w:val="24"/>
        </w:rPr>
        <w:t>® (75.5%), compared with thos</w:t>
      </w:r>
      <w:r w:rsidR="008E4387">
        <w:rPr>
          <w:rFonts w:ascii="Times New Roman" w:eastAsiaTheme="minorEastAsia" w:hAnsi="Times New Roman" w:cs="Times New Roman"/>
          <w:sz w:val="24"/>
          <w:szCs w:val="24"/>
        </w:rPr>
        <w:t>e with Silver Cup® (65.8%). L</w:t>
      </w:r>
      <w:r w:rsidR="005C297E" w:rsidRPr="006E423F">
        <w:rPr>
          <w:rFonts w:ascii="Times New Roman" w:eastAsiaTheme="minorEastAsia" w:hAnsi="Times New Roman" w:cs="Times New Roman"/>
          <w:sz w:val="24"/>
          <w:szCs w:val="24"/>
        </w:rPr>
        <w:t>ipids</w:t>
      </w:r>
      <w:r w:rsidR="008E4387">
        <w:rPr>
          <w:rFonts w:ascii="Times New Roman" w:eastAsiaTheme="minorEastAsia" w:hAnsi="Times New Roman" w:cs="Times New Roman"/>
          <w:sz w:val="24"/>
          <w:szCs w:val="24"/>
        </w:rPr>
        <w:t xml:space="preserve"> content was </w:t>
      </w:r>
      <w:r w:rsidR="005C297E" w:rsidRPr="006E423F">
        <w:rPr>
          <w:rFonts w:ascii="Times New Roman" w:eastAsiaTheme="minorEastAsia" w:hAnsi="Times New Roman" w:cs="Times New Roman"/>
          <w:sz w:val="24"/>
          <w:szCs w:val="24"/>
        </w:rPr>
        <w:t>statistical</w:t>
      </w:r>
      <w:r w:rsidR="008E4387">
        <w:rPr>
          <w:rFonts w:ascii="Times New Roman" w:eastAsiaTheme="minorEastAsia" w:hAnsi="Times New Roman" w:cs="Times New Roman"/>
          <w:sz w:val="24"/>
          <w:szCs w:val="24"/>
        </w:rPr>
        <w:t xml:space="preserve"> different, </w:t>
      </w:r>
      <w:r w:rsidR="005C297E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Silver Cup® (24.7%), followed by </w:t>
      </w:r>
      <w:r w:rsidR="00AB2D2D" w:rsidRPr="006E423F">
        <w:rPr>
          <w:rFonts w:ascii="Times New Roman" w:eastAsiaTheme="minorEastAsia" w:hAnsi="Times New Roman" w:cs="Times New Roman"/>
          <w:sz w:val="24"/>
          <w:szCs w:val="24"/>
        </w:rPr>
        <w:t>Super</w:t>
      </w:r>
      <w:r w:rsidR="005C297E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® (16.6%). The highest significant humidity was for </w:t>
      </w:r>
      <w:r w:rsidR="00AB2D2D" w:rsidRPr="006E423F">
        <w:rPr>
          <w:rFonts w:ascii="Times New Roman" w:eastAsiaTheme="minorEastAsia" w:hAnsi="Times New Roman" w:cs="Times New Roman"/>
          <w:sz w:val="24"/>
          <w:szCs w:val="24"/>
        </w:rPr>
        <w:t>Super</w:t>
      </w:r>
      <w:r w:rsidR="005C297E" w:rsidRPr="006E423F">
        <w:rPr>
          <w:rFonts w:ascii="Times New Roman" w:eastAsiaTheme="minorEastAsia" w:hAnsi="Times New Roman" w:cs="Times New Roman"/>
          <w:sz w:val="24"/>
          <w:szCs w:val="24"/>
        </w:rPr>
        <w:t>® (9.4%) compared to Silver Cup® (1.2%)</w:t>
      </w:r>
      <w:r w:rsidR="00420532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. Highest caloric content was found in </w:t>
      </w:r>
      <w:r w:rsidR="00AB2D2D" w:rsidRPr="006E423F">
        <w:rPr>
          <w:rFonts w:ascii="Times New Roman" w:eastAsiaTheme="minorEastAsia" w:hAnsi="Times New Roman" w:cs="Times New Roman"/>
          <w:sz w:val="24"/>
          <w:szCs w:val="24"/>
        </w:rPr>
        <w:t>Super</w:t>
      </w:r>
      <w:r w:rsidR="00420532" w:rsidRPr="006E423F">
        <w:rPr>
          <w:rFonts w:ascii="Times New Roman" w:eastAsiaTheme="minorEastAsia" w:hAnsi="Times New Roman" w:cs="Times New Roman"/>
          <w:sz w:val="24"/>
          <w:szCs w:val="24"/>
        </w:rPr>
        <w:t>® (5.95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±</m:t>
        </m:r>
      </m:oMath>
      <w:r w:rsidR="00420532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0.041 Kcal/g). </w:t>
      </w:r>
      <w:r w:rsidR="005C297E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          </w:t>
      </w:r>
      <w:r w:rsidR="005C297E" w:rsidRPr="006E423F">
        <w:rPr>
          <w:rFonts w:ascii="Times New Roman" w:eastAsiaTheme="minorEastAsia" w:hAnsi="Times New Roman" w:cs="Times New Roman"/>
          <w:sz w:val="24"/>
          <w:szCs w:val="24"/>
          <w:highlight w:val="yellow"/>
        </w:rPr>
        <w:t xml:space="preserve"> </w:t>
      </w:r>
      <w:r w:rsidR="005C297E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</w:p>
    <w:p w:rsidR="008B2449" w:rsidRPr="006E423F" w:rsidRDefault="00036668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b/>
          <w:sz w:val="24"/>
          <w:szCs w:val="24"/>
        </w:rPr>
        <w:t>Investment Costs</w:t>
      </w:r>
      <w:r w:rsidR="008B2449" w:rsidRPr="006E423F">
        <w:rPr>
          <w:rFonts w:ascii="Times New Roman" w:eastAsiaTheme="minorEastAsia" w:hAnsi="Times New Roman" w:cs="Times New Roman"/>
          <w:b/>
          <w:sz w:val="24"/>
          <w:szCs w:val="24"/>
        </w:rPr>
        <w:t xml:space="preserve">.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In order to produce 3600 fish, an investment of 13 526.73 USD was estimated for both cases. </w:t>
      </w:r>
      <w:r w:rsidR="00F65668" w:rsidRPr="006E423F">
        <w:rPr>
          <w:rFonts w:ascii="Times New Roman" w:eastAsiaTheme="minorEastAsia" w:hAnsi="Times New Roman" w:cs="Times New Roman"/>
          <w:sz w:val="24"/>
          <w:szCs w:val="24"/>
        </w:rPr>
        <w:t>This investment includes the purchase of land 500 m</w:t>
      </w:r>
      <w:r w:rsidR="00F65668" w:rsidRPr="006E423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F65668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, equipment and material, land preparation and electricity installation among others (Table 2).  </w:t>
      </w:r>
    </w:p>
    <w:p w:rsidR="00F65668" w:rsidRPr="006E423F" w:rsidRDefault="008B2449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b/>
          <w:sz w:val="24"/>
          <w:szCs w:val="24"/>
        </w:rPr>
        <w:t xml:space="preserve">Production cost. </w:t>
      </w:r>
      <w:r w:rsidR="00F65668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Fish fed with </w:t>
      </w:r>
      <w:r w:rsidR="00AB2D2D" w:rsidRPr="006E423F">
        <w:rPr>
          <w:rFonts w:ascii="Times New Roman" w:eastAsiaTheme="minorEastAsia" w:hAnsi="Times New Roman" w:cs="Times New Roman"/>
          <w:sz w:val="24"/>
          <w:szCs w:val="24"/>
        </w:rPr>
        <w:t>Super</w:t>
      </w:r>
      <w:r w:rsidR="00F65668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® ate daily in average (163.02 g/day), more than those fed with Silver Cup® (138.93 g/day). The total feed used was 260.69 kg for </w:t>
      </w:r>
      <w:r w:rsidR="00CE4487" w:rsidRPr="006E423F">
        <w:rPr>
          <w:rFonts w:ascii="Times New Roman" w:eastAsiaTheme="minorEastAsia" w:hAnsi="Times New Roman" w:cs="Times New Roman"/>
          <w:sz w:val="24"/>
          <w:szCs w:val="24"/>
        </w:rPr>
        <w:t>Super</w:t>
      </w:r>
      <w:r w:rsidR="00F65668" w:rsidRPr="006E423F">
        <w:rPr>
          <w:rFonts w:ascii="Times New Roman" w:eastAsiaTheme="minorEastAsia" w:hAnsi="Times New Roman" w:cs="Times New Roman"/>
          <w:sz w:val="24"/>
          <w:szCs w:val="24"/>
        </w:rPr>
        <w:t>® and 232.995 kg for Silver Cup® during all experiment. The cost of Silver Cup® was 1.26 USD/kg</w:t>
      </w:r>
      <w:r w:rsidR="005B5DD0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, compared with the Price of </w:t>
      </w:r>
      <w:r w:rsidR="00AB2D2D" w:rsidRPr="006E423F">
        <w:rPr>
          <w:rFonts w:ascii="Times New Roman" w:eastAsiaTheme="minorEastAsia" w:hAnsi="Times New Roman" w:cs="Times New Roman"/>
          <w:sz w:val="24"/>
          <w:szCs w:val="24"/>
        </w:rPr>
        <w:t>Super</w:t>
      </w:r>
      <w:r w:rsidR="005B5DD0" w:rsidRPr="006E423F">
        <w:rPr>
          <w:rFonts w:ascii="Times New Roman" w:eastAsiaTheme="minorEastAsia" w:hAnsi="Times New Roman" w:cs="Times New Roman"/>
          <w:sz w:val="24"/>
          <w:szCs w:val="24"/>
        </w:rPr>
        <w:t>® 0.92 USD/kg. Each fry had a cost of 0.</w:t>
      </w:r>
      <w:r w:rsidR="00CE4487">
        <w:rPr>
          <w:rFonts w:ascii="Times New Roman" w:eastAsiaTheme="minorEastAsia" w:hAnsi="Times New Roman" w:cs="Times New Roman"/>
          <w:sz w:val="24"/>
          <w:szCs w:val="24"/>
        </w:rPr>
        <w:t>66 USD, thus, total cost of fry</w:t>
      </w:r>
      <w:r w:rsidR="005B5DD0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was 158.56 USD</w:t>
      </w:r>
      <w:r w:rsidR="002B222A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. The total cost of energetics was 184.50 USD, labor was 888.39 USD and the expenses for veterinary materials was 47.57 USD (Table 3).  </w:t>
      </w:r>
      <w:r w:rsidR="005B5DD0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</w:p>
    <w:p w:rsidR="002B222A" w:rsidRPr="006E423F" w:rsidRDefault="002B222A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b/>
          <w:sz w:val="24"/>
          <w:szCs w:val="24"/>
        </w:rPr>
        <w:t xml:space="preserve">Benefits and </w:t>
      </w:r>
      <w:r w:rsidR="00F6391D" w:rsidRPr="006E423F">
        <w:rPr>
          <w:rFonts w:ascii="Times New Roman" w:eastAsiaTheme="minorEastAsia" w:hAnsi="Times New Roman" w:cs="Times New Roman"/>
          <w:b/>
          <w:sz w:val="24"/>
          <w:szCs w:val="24"/>
        </w:rPr>
        <w:t>income</w:t>
      </w:r>
      <w:r w:rsidR="008B2449" w:rsidRPr="006E423F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Pr="006E423F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The total biomass produced with </w:t>
      </w:r>
      <w:r w:rsidR="00CE4487" w:rsidRPr="006E423F">
        <w:rPr>
          <w:rFonts w:ascii="Times New Roman" w:eastAsiaTheme="minorEastAsia" w:hAnsi="Times New Roman" w:cs="Times New Roman"/>
          <w:sz w:val="24"/>
          <w:szCs w:val="24"/>
        </w:rPr>
        <w:t>Super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>® was 48.98 kg, compared with the biomass produced with Silver Cup®</w:t>
      </w:r>
      <w:r w:rsidR="009022BB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53.13 kg. The commercial value of the farmed tropical gar between 400 and 500 g is 4.23 USD for each organism.  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9022BB" w:rsidRPr="006E423F" w:rsidRDefault="009022BB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sz w:val="24"/>
          <w:szCs w:val="24"/>
        </w:rPr>
        <w:t>The estimated biomass produced in six concrete ponds of 35 m</w:t>
      </w:r>
      <w:r w:rsidRPr="006E423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3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with 600 fish for </w:t>
      </w:r>
      <w:r w:rsidR="00CE4487" w:rsidRPr="006E423F">
        <w:rPr>
          <w:rFonts w:ascii="Times New Roman" w:eastAsiaTheme="minorEastAsia" w:hAnsi="Times New Roman" w:cs="Times New Roman"/>
          <w:sz w:val="24"/>
          <w:szCs w:val="24"/>
        </w:rPr>
        <w:t>Super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>® diet was 1479.24 kg with a value of 414.17 USD. For Silver Cup® diet</w:t>
      </w:r>
      <w:r w:rsidR="00CE4487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the biomass produced was 1604.83 kg with a value of 449.34 USD (Table 4).    </w:t>
      </w:r>
    </w:p>
    <w:p w:rsidR="007B7C60" w:rsidRPr="006E423F" w:rsidRDefault="00342268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The produced cost per fish decreased with the increment of organisms from 120 to 3600 fish, thus, production cost for </w:t>
      </w:r>
      <w:r w:rsidR="004423C0" w:rsidRPr="006E423F">
        <w:rPr>
          <w:rFonts w:ascii="Times New Roman" w:eastAsiaTheme="minorEastAsia" w:hAnsi="Times New Roman" w:cs="Times New Roman"/>
          <w:sz w:val="24"/>
          <w:szCs w:val="24"/>
        </w:rPr>
        <w:t>Super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® decreased to 1.74 USD. The production cost of 3600 fish fed with Silver Cup® will cost 1.90 USD per fish. </w:t>
      </w:r>
      <w:r w:rsidR="007B7C60" w:rsidRPr="006E423F">
        <w:rPr>
          <w:rFonts w:ascii="Times New Roman" w:eastAsiaTheme="minorEastAsia" w:hAnsi="Times New Roman" w:cs="Times New Roman"/>
          <w:sz w:val="24"/>
          <w:szCs w:val="24"/>
        </w:rPr>
        <w:t>Therefore,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the total production cost for </w:t>
      </w:r>
      <w:r w:rsidR="004423C0" w:rsidRPr="006E423F">
        <w:rPr>
          <w:rFonts w:ascii="Times New Roman" w:eastAsiaTheme="minorEastAsia" w:hAnsi="Times New Roman" w:cs="Times New Roman"/>
          <w:sz w:val="24"/>
          <w:szCs w:val="24"/>
        </w:rPr>
        <w:t>Super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® would be 6 253.76 USD, while for Silver Cup® 6 852.97 USD (Table 4).   </w:t>
      </w:r>
    </w:p>
    <w:p w:rsidR="00342268" w:rsidRPr="006E423F" w:rsidRDefault="007B7C6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The estimated </w:t>
      </w:r>
      <w:r w:rsidR="00F6391D" w:rsidRPr="006E423F">
        <w:rPr>
          <w:rFonts w:ascii="Times New Roman" w:eastAsiaTheme="minorEastAsia" w:hAnsi="Times New Roman" w:cs="Times New Roman"/>
          <w:sz w:val="24"/>
          <w:szCs w:val="24"/>
        </w:rPr>
        <w:t>income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for production with</w:t>
      </w:r>
      <w:r w:rsidR="0030650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423C0" w:rsidRPr="006E423F">
        <w:rPr>
          <w:rFonts w:ascii="Times New Roman" w:eastAsiaTheme="minorEastAsia" w:hAnsi="Times New Roman" w:cs="Times New Roman"/>
          <w:sz w:val="24"/>
          <w:szCs w:val="24"/>
        </w:rPr>
        <w:t>Super</w:t>
      </w:r>
      <w:r w:rsidR="00306505" w:rsidRPr="006E423F">
        <w:rPr>
          <w:rFonts w:ascii="Times New Roman" w:eastAsiaTheme="minorEastAsia" w:hAnsi="Times New Roman" w:cs="Times New Roman"/>
          <w:sz w:val="24"/>
          <w:szCs w:val="24"/>
        </w:rPr>
        <w:t>® would be 12,509.41 USD,</w:t>
      </w:r>
      <w:r w:rsidR="00F6391D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with a profit of 6,255.65 USD. For Silver Cup® the income would be 13 571.53 USD, with a profit of 6 718.56 USD.   </w:t>
      </w:r>
      <w:r w:rsidR="00342268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5B73AA" w:rsidRPr="006E423F" w:rsidRDefault="005B73AA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b/>
          <w:sz w:val="24"/>
          <w:szCs w:val="24"/>
        </w:rPr>
        <w:t>Net present va</w:t>
      </w:r>
      <w:r w:rsidR="008B2449" w:rsidRPr="006E423F">
        <w:rPr>
          <w:rFonts w:ascii="Times New Roman" w:eastAsiaTheme="minorEastAsia" w:hAnsi="Times New Roman" w:cs="Times New Roman"/>
          <w:b/>
          <w:sz w:val="24"/>
          <w:szCs w:val="24"/>
        </w:rPr>
        <w:t xml:space="preserve">lue and internal rate of return.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>The NPV at a minimum acceptable performance rate (MARR) of 10% during ten years from cash flow produced from the tropical gar grow-out with Silver Cup® was 55 332.63 USD. The cost benefit relation 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C/B</m:t>
        </m:r>
      </m:oMath>
      <w:r w:rsidRPr="006E423F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4F79A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was 1.50 USD and IRR was 48.38%. For </w:t>
      </w:r>
      <w:r w:rsidR="002332E8">
        <w:rPr>
          <w:rFonts w:ascii="Times New Roman" w:eastAsiaTheme="minorEastAsia" w:hAnsi="Times New Roman" w:cs="Times New Roman"/>
          <w:sz w:val="24"/>
          <w:szCs w:val="24"/>
        </w:rPr>
        <w:t xml:space="preserve">Super® </w:t>
      </w:r>
      <w:r w:rsidR="004F79A5" w:rsidRPr="006E423F">
        <w:rPr>
          <w:rFonts w:ascii="Times New Roman" w:eastAsiaTheme="minorEastAsia" w:hAnsi="Times New Roman" w:cs="Times New Roman"/>
          <w:sz w:val="24"/>
          <w:szCs w:val="24"/>
        </w:rPr>
        <w:t>NPV was 50 842.28 USD, 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C/B</m:t>
        </m:r>
      </m:oMath>
      <w:r w:rsidR="004F79A5" w:rsidRPr="006E423F">
        <w:rPr>
          <w:rFonts w:ascii="Times New Roman" w:eastAsiaTheme="minorEastAsia" w:hAnsi="Times New Roman" w:cs="Times New Roman"/>
          <w:sz w:val="24"/>
          <w:szCs w:val="24"/>
        </w:rPr>
        <w:t>) of 1.49 USD and IRR of 47.03% (Table 5).</w:t>
      </w:r>
    </w:p>
    <w:p w:rsidR="008B2449" w:rsidRPr="006E423F" w:rsidRDefault="008B2449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F79A5" w:rsidRPr="006E423F" w:rsidRDefault="008B2449" w:rsidP="008B244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b/>
          <w:sz w:val="24"/>
          <w:szCs w:val="24"/>
        </w:rPr>
        <w:t>Discussion</w:t>
      </w:r>
    </w:p>
    <w:p w:rsidR="009A07CD" w:rsidRPr="006E423F" w:rsidRDefault="008B2449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b/>
          <w:sz w:val="24"/>
          <w:szCs w:val="24"/>
        </w:rPr>
        <w:t xml:space="preserve">Growth and survival. </w:t>
      </w:r>
      <w:r w:rsidR="004F79A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Results indicated that fish fed with </w:t>
      </w:r>
      <w:r w:rsidR="004423C0" w:rsidRPr="006E423F">
        <w:rPr>
          <w:rFonts w:ascii="Times New Roman" w:eastAsiaTheme="minorEastAsia" w:hAnsi="Times New Roman" w:cs="Times New Roman"/>
          <w:sz w:val="24"/>
          <w:szCs w:val="24"/>
        </w:rPr>
        <w:t>Super</w:t>
      </w:r>
      <w:r w:rsidR="004F79A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® diet obtained a less average growth than those fed with Silver Cup®. </w:t>
      </w:r>
      <w:r w:rsidR="004423C0" w:rsidRPr="006E423F">
        <w:rPr>
          <w:rFonts w:ascii="Times New Roman" w:eastAsiaTheme="minorEastAsia" w:hAnsi="Times New Roman" w:cs="Times New Roman"/>
          <w:sz w:val="24"/>
          <w:szCs w:val="24"/>
        </w:rPr>
        <w:t>Super</w:t>
      </w:r>
      <w:r w:rsidR="004F79A5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® diet contained less protein (4% less). Carrillo (2011) did not found differences among weight and size in tropical gar fed with three commercial feeds (Tilapia 38% CP; Tilapia 38%+oil and trout feed), although was observed a dispersion </w:t>
      </w:r>
      <w:r w:rsidR="009A07CD" w:rsidRPr="006E423F">
        <w:rPr>
          <w:rFonts w:ascii="Times New Roman" w:eastAsiaTheme="minorEastAsia" w:hAnsi="Times New Roman" w:cs="Times New Roman"/>
          <w:sz w:val="24"/>
          <w:szCs w:val="24"/>
        </w:rPr>
        <w:t>in weight and size.</w:t>
      </w:r>
    </w:p>
    <w:p w:rsidR="004F79A5" w:rsidRPr="006E423F" w:rsidRDefault="009A07CD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sz w:val="24"/>
          <w:szCs w:val="24"/>
        </w:rPr>
        <w:t>Water quality parameters did not exceed the allowable limits (</w:t>
      </w:r>
      <w:proofErr w:type="spellStart"/>
      <w:r w:rsidRPr="006E423F">
        <w:rPr>
          <w:rFonts w:ascii="Times New Roman" w:eastAsiaTheme="minorEastAsia" w:hAnsi="Times New Roman" w:cs="Times New Roman"/>
          <w:sz w:val="24"/>
          <w:szCs w:val="24"/>
        </w:rPr>
        <w:t>Márquez</w:t>
      </w:r>
      <w:proofErr w:type="spellEnd"/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-Couturier </w:t>
      </w:r>
      <w:r w:rsidRPr="00786930">
        <w:rPr>
          <w:rFonts w:ascii="Times New Roman" w:eastAsiaTheme="minorEastAsia" w:hAnsi="Times New Roman" w:cs="Times New Roman"/>
          <w:i/>
          <w:sz w:val="24"/>
          <w:szCs w:val="24"/>
        </w:rPr>
        <w:t>et al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>., 2013), thus, did not had an impact on growth.</w:t>
      </w:r>
      <w:r w:rsidR="004423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The experiment showed a survival of 98.87%, which agrees with other carnivorous and omnivorous fish in growth experiments; rainbow trout </w:t>
      </w:r>
      <w:proofErr w:type="spellStart"/>
      <w:r w:rsidRPr="006E423F">
        <w:rPr>
          <w:rFonts w:ascii="Times New Roman" w:eastAsiaTheme="minorEastAsia" w:hAnsi="Times New Roman" w:cs="Times New Roman"/>
          <w:i/>
          <w:sz w:val="24"/>
          <w:szCs w:val="24"/>
        </w:rPr>
        <w:t>Oncorhynchus</w:t>
      </w:r>
      <w:proofErr w:type="spellEnd"/>
      <w:r w:rsidRPr="006E423F">
        <w:rPr>
          <w:rFonts w:ascii="Times New Roman" w:eastAsiaTheme="minorEastAsia" w:hAnsi="Times New Roman" w:cs="Times New Roman"/>
          <w:i/>
          <w:sz w:val="24"/>
          <w:szCs w:val="24"/>
        </w:rPr>
        <w:t xml:space="preserve"> mykiss</w:t>
      </w:r>
      <w:r w:rsidRPr="006E423F">
        <w:rPr>
          <w:rFonts w:ascii="Times New Roman" w:eastAsiaTheme="minorEastAsia" w:hAnsi="Times New Roman" w:cs="Times New Roman"/>
          <w:iCs/>
          <w:sz w:val="24"/>
          <w:szCs w:val="24"/>
        </w:rPr>
        <w:t xml:space="preserve"> 96.3% (</w:t>
      </w:r>
      <w:proofErr w:type="spellStart"/>
      <w:r w:rsidRPr="006E423F">
        <w:rPr>
          <w:rFonts w:ascii="Times New Roman" w:eastAsiaTheme="minorEastAsia" w:hAnsi="Times New Roman" w:cs="Times New Roman"/>
          <w:iCs/>
          <w:sz w:val="24"/>
          <w:szCs w:val="24"/>
        </w:rPr>
        <w:t>García-Macías</w:t>
      </w:r>
      <w:proofErr w:type="spellEnd"/>
      <w:r w:rsidRPr="006E423F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786930">
        <w:rPr>
          <w:rFonts w:ascii="Times New Roman" w:eastAsiaTheme="minorEastAsia" w:hAnsi="Times New Roman" w:cs="Times New Roman"/>
          <w:i/>
          <w:iCs/>
          <w:sz w:val="24"/>
          <w:szCs w:val="24"/>
        </w:rPr>
        <w:t>et al</w:t>
      </w:r>
      <w:r w:rsidRPr="006E423F">
        <w:rPr>
          <w:rFonts w:ascii="Times New Roman" w:eastAsiaTheme="minorEastAsia" w:hAnsi="Times New Roman" w:cs="Times New Roman"/>
          <w:iCs/>
          <w:sz w:val="24"/>
          <w:szCs w:val="24"/>
        </w:rPr>
        <w:t xml:space="preserve">., 2004) and channel catfish </w:t>
      </w:r>
      <w:proofErr w:type="spellStart"/>
      <w:r w:rsidRPr="006E423F">
        <w:rPr>
          <w:rFonts w:ascii="Times New Roman" w:eastAsiaTheme="minorEastAsia" w:hAnsi="Times New Roman" w:cs="Times New Roman"/>
          <w:i/>
          <w:iCs/>
          <w:sz w:val="24"/>
          <w:szCs w:val="24"/>
        </w:rPr>
        <w:t>Ictalurus</w:t>
      </w:r>
      <w:proofErr w:type="spellEnd"/>
      <w:r w:rsidRPr="006E423F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punctatus</w:t>
      </w:r>
      <w:r w:rsidRPr="006E423F">
        <w:rPr>
          <w:rFonts w:ascii="Times New Roman" w:eastAsiaTheme="minorEastAsia" w:hAnsi="Times New Roman" w:cs="Times New Roman"/>
          <w:iCs/>
          <w:sz w:val="24"/>
          <w:szCs w:val="24"/>
        </w:rPr>
        <w:t xml:space="preserve"> 97% (</w:t>
      </w:r>
      <w:proofErr w:type="spellStart"/>
      <w:r w:rsidRPr="006E423F">
        <w:rPr>
          <w:rFonts w:ascii="Times New Roman" w:eastAsiaTheme="minorEastAsia" w:hAnsi="Times New Roman" w:cs="Times New Roman"/>
          <w:iCs/>
          <w:sz w:val="24"/>
          <w:szCs w:val="24"/>
        </w:rPr>
        <w:t>Yildirim</w:t>
      </w:r>
      <w:proofErr w:type="spellEnd"/>
      <w:r w:rsidRPr="006E423F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786930">
        <w:rPr>
          <w:rFonts w:ascii="Times New Roman" w:eastAsiaTheme="minorEastAsia" w:hAnsi="Times New Roman" w:cs="Times New Roman"/>
          <w:i/>
          <w:iCs/>
          <w:sz w:val="24"/>
          <w:szCs w:val="24"/>
        </w:rPr>
        <w:t>et al</w:t>
      </w:r>
      <w:r w:rsidRPr="006E423F">
        <w:rPr>
          <w:rFonts w:ascii="Times New Roman" w:eastAsiaTheme="minorEastAsia" w:hAnsi="Times New Roman" w:cs="Times New Roman"/>
          <w:iCs/>
          <w:sz w:val="24"/>
          <w:szCs w:val="24"/>
        </w:rPr>
        <w:t>., 2007).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E423F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9A07CD" w:rsidRPr="006E423F" w:rsidRDefault="009A07CD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sz w:val="24"/>
          <w:szCs w:val="24"/>
        </w:rPr>
        <w:t>Average weight and size for each fish were suitable in relation to market price (</w:t>
      </w:r>
      <w:proofErr w:type="spellStart"/>
      <w:r w:rsidRPr="006E423F">
        <w:rPr>
          <w:rFonts w:ascii="Times New Roman" w:eastAsiaTheme="minorEastAsia" w:hAnsi="Times New Roman" w:cs="Times New Roman"/>
          <w:sz w:val="24"/>
          <w:szCs w:val="24"/>
        </w:rPr>
        <w:t>Márquez</w:t>
      </w:r>
      <w:proofErr w:type="spellEnd"/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-Couturier </w:t>
      </w:r>
      <w:r w:rsidRPr="00786930">
        <w:rPr>
          <w:rFonts w:ascii="Times New Roman" w:eastAsiaTheme="minorEastAsia" w:hAnsi="Times New Roman" w:cs="Times New Roman"/>
          <w:i/>
          <w:sz w:val="24"/>
          <w:szCs w:val="24"/>
        </w:rPr>
        <w:t>et al</w:t>
      </w:r>
      <w:r w:rsidR="004423C0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, 2013) of 4.23 USD </w:t>
      </w:r>
      <w:r w:rsidR="005B3AF2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year average (with fluctuations to 5.29 USD in seasons of supply shortages), for fish between 400 to 550 g and 40 to 50 cm in size.    </w:t>
      </w:r>
    </w:p>
    <w:p w:rsidR="005B3AF2" w:rsidRPr="006E423F" w:rsidRDefault="004423C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C</w:t>
      </w:r>
      <w:r w:rsidRPr="006E423F">
        <w:rPr>
          <w:rFonts w:ascii="Times New Roman" w:eastAsiaTheme="minorEastAsia" w:hAnsi="Times New Roman" w:cs="Times New Roman"/>
          <w:b/>
          <w:sz w:val="24"/>
          <w:szCs w:val="24"/>
        </w:rPr>
        <w:t xml:space="preserve">hemical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p</w:t>
      </w:r>
      <w:r w:rsidR="008B2449" w:rsidRPr="006E423F">
        <w:rPr>
          <w:rFonts w:ascii="Times New Roman" w:eastAsiaTheme="minorEastAsia" w:hAnsi="Times New Roman" w:cs="Times New Roman"/>
          <w:b/>
          <w:sz w:val="24"/>
          <w:szCs w:val="24"/>
        </w:rPr>
        <w:t xml:space="preserve">roximal analysis. </w:t>
      </w:r>
      <w:r w:rsidR="005B3AF2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The chemical proximal analysis suggested that the nutritional quality of tropical gar fed with </w:t>
      </w:r>
      <w:r w:rsidRPr="006E423F">
        <w:rPr>
          <w:rFonts w:ascii="Times New Roman" w:eastAsiaTheme="minorEastAsia" w:hAnsi="Times New Roman" w:cs="Times New Roman"/>
          <w:iCs/>
          <w:sz w:val="24"/>
          <w:szCs w:val="24"/>
        </w:rPr>
        <w:t>Super</w:t>
      </w:r>
      <w:r w:rsidR="005B3AF2" w:rsidRPr="006E423F">
        <w:rPr>
          <w:rFonts w:ascii="Times New Roman" w:eastAsiaTheme="minorEastAsia" w:hAnsi="Times New Roman" w:cs="Times New Roman"/>
          <w:iCs/>
          <w:sz w:val="24"/>
          <w:szCs w:val="24"/>
        </w:rPr>
        <w:t xml:space="preserve">® is better than those fed with Silver Cup®, </w:t>
      </w:r>
      <w:r w:rsidR="00D853B0" w:rsidRPr="006E423F">
        <w:rPr>
          <w:rFonts w:ascii="Times New Roman" w:eastAsiaTheme="minorEastAsia" w:hAnsi="Times New Roman" w:cs="Times New Roman"/>
          <w:iCs/>
          <w:sz w:val="24"/>
          <w:szCs w:val="24"/>
        </w:rPr>
        <w:t xml:space="preserve">because fish fed with </w:t>
      </w:r>
      <w:r w:rsidRPr="006E423F">
        <w:rPr>
          <w:rFonts w:ascii="Times New Roman" w:eastAsiaTheme="minorEastAsia" w:hAnsi="Times New Roman" w:cs="Times New Roman"/>
          <w:iCs/>
          <w:sz w:val="24"/>
          <w:szCs w:val="24"/>
        </w:rPr>
        <w:t>Super</w:t>
      </w:r>
      <w:r w:rsidR="00D853B0" w:rsidRPr="006E423F">
        <w:rPr>
          <w:rFonts w:ascii="Times New Roman" w:eastAsiaTheme="minorEastAsia" w:hAnsi="Times New Roman" w:cs="Times New Roman"/>
          <w:iCs/>
          <w:sz w:val="24"/>
          <w:szCs w:val="24"/>
        </w:rPr>
        <w:t xml:space="preserve">® contained greater amount of protein, hence, could have a less </w:t>
      </w:r>
      <w:proofErr w:type="spellStart"/>
      <w:r w:rsidR="00D853B0" w:rsidRPr="006E423F">
        <w:rPr>
          <w:rFonts w:ascii="Times New Roman" w:eastAsiaTheme="minorEastAsia" w:hAnsi="Times New Roman" w:cs="Times New Roman"/>
          <w:iCs/>
          <w:sz w:val="24"/>
          <w:szCs w:val="24"/>
        </w:rPr>
        <w:t>viscerosomatic</w:t>
      </w:r>
      <w:proofErr w:type="spellEnd"/>
      <w:r w:rsidR="00D853B0" w:rsidRPr="006E423F">
        <w:rPr>
          <w:rFonts w:ascii="Times New Roman" w:eastAsiaTheme="minorEastAsia" w:hAnsi="Times New Roman" w:cs="Times New Roman"/>
          <w:iCs/>
          <w:sz w:val="24"/>
          <w:szCs w:val="24"/>
        </w:rPr>
        <w:t xml:space="preserve"> index and greater carcass meat yield, as happen</w:t>
      </w:r>
      <w:r w:rsidR="00923D79" w:rsidRPr="006E423F">
        <w:rPr>
          <w:rFonts w:ascii="Times New Roman" w:eastAsiaTheme="minorEastAsia" w:hAnsi="Times New Roman" w:cs="Times New Roman"/>
          <w:iCs/>
          <w:sz w:val="24"/>
          <w:szCs w:val="24"/>
        </w:rPr>
        <w:t xml:space="preserve"> in </w:t>
      </w:r>
      <w:proofErr w:type="spellStart"/>
      <w:r w:rsidR="00923D79" w:rsidRPr="006E423F">
        <w:rPr>
          <w:rFonts w:ascii="Times New Roman" w:eastAsiaTheme="minorEastAsia" w:hAnsi="Times New Roman" w:cs="Times New Roman"/>
          <w:i/>
          <w:sz w:val="24"/>
          <w:szCs w:val="24"/>
        </w:rPr>
        <w:t>Oncorhynchus</w:t>
      </w:r>
      <w:proofErr w:type="spellEnd"/>
      <w:r w:rsidR="00923D79" w:rsidRPr="006E423F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proofErr w:type="spellStart"/>
      <w:r w:rsidR="00923D79" w:rsidRPr="006E423F">
        <w:rPr>
          <w:rFonts w:ascii="Times New Roman" w:eastAsiaTheme="minorEastAsia" w:hAnsi="Times New Roman" w:cs="Times New Roman"/>
          <w:i/>
          <w:sz w:val="24"/>
          <w:szCs w:val="24"/>
        </w:rPr>
        <w:t>mykis</w:t>
      </w:r>
      <w:proofErr w:type="spellEnd"/>
      <w:r w:rsidR="00923D79" w:rsidRPr="006E423F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923D79" w:rsidRPr="006E423F">
        <w:rPr>
          <w:rFonts w:ascii="Times New Roman" w:eastAsiaTheme="minorEastAsia" w:hAnsi="Times New Roman" w:cs="Times New Roman"/>
          <w:iCs/>
          <w:sz w:val="24"/>
          <w:szCs w:val="24"/>
        </w:rPr>
        <w:t xml:space="preserve">(Francesco </w:t>
      </w:r>
      <w:r w:rsidR="00923D79" w:rsidRPr="00786930">
        <w:rPr>
          <w:rFonts w:ascii="Times New Roman" w:eastAsiaTheme="minorEastAsia" w:hAnsi="Times New Roman" w:cs="Times New Roman"/>
          <w:i/>
          <w:iCs/>
          <w:sz w:val="24"/>
          <w:szCs w:val="24"/>
        </w:rPr>
        <w:t>et al</w:t>
      </w:r>
      <w:r w:rsidR="00923D79" w:rsidRPr="006E423F">
        <w:rPr>
          <w:rFonts w:ascii="Times New Roman" w:eastAsiaTheme="minorEastAsia" w:hAnsi="Times New Roman" w:cs="Times New Roman"/>
          <w:iCs/>
          <w:sz w:val="24"/>
          <w:szCs w:val="24"/>
        </w:rPr>
        <w:t xml:space="preserve">., 2004; </w:t>
      </w:r>
      <w:proofErr w:type="spellStart"/>
      <w:r w:rsidR="00923D79" w:rsidRPr="006E423F">
        <w:rPr>
          <w:rFonts w:ascii="Times New Roman" w:eastAsiaTheme="minorEastAsia" w:hAnsi="Times New Roman" w:cs="Times New Roman"/>
          <w:iCs/>
          <w:sz w:val="24"/>
          <w:szCs w:val="24"/>
        </w:rPr>
        <w:t>García-Macías</w:t>
      </w:r>
      <w:proofErr w:type="spellEnd"/>
      <w:r w:rsidR="00923D79" w:rsidRPr="006E423F"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="00923D79" w:rsidRPr="00786930">
        <w:rPr>
          <w:rFonts w:ascii="Times New Roman" w:eastAsiaTheme="minorEastAsia" w:hAnsi="Times New Roman" w:cs="Times New Roman"/>
          <w:i/>
          <w:iCs/>
          <w:sz w:val="24"/>
          <w:szCs w:val="24"/>
        </w:rPr>
        <w:t>et al</w:t>
      </w:r>
      <w:r w:rsidR="00923D79" w:rsidRPr="006E423F">
        <w:rPr>
          <w:rFonts w:ascii="Times New Roman" w:eastAsiaTheme="minorEastAsia" w:hAnsi="Times New Roman" w:cs="Times New Roman"/>
          <w:iCs/>
          <w:sz w:val="24"/>
          <w:szCs w:val="24"/>
        </w:rPr>
        <w:t>., 2004). In the near future a better meat quality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could result in an advantage for</w:t>
      </w:r>
      <w:r w:rsidR="00923D79" w:rsidRPr="006E423F">
        <w:rPr>
          <w:rFonts w:ascii="Times New Roman" w:eastAsiaTheme="minorEastAsia" w:hAnsi="Times New Roman" w:cs="Times New Roman"/>
          <w:iCs/>
          <w:sz w:val="24"/>
          <w:szCs w:val="24"/>
        </w:rPr>
        <w:t xml:space="preserve"> market, as this could allow a greater diversity in products, such as; filets, meat medallions, increasing the income potential.   </w:t>
      </w:r>
      <w:r w:rsidR="00D853B0" w:rsidRPr="006E423F">
        <w:rPr>
          <w:rFonts w:ascii="Times New Roman" w:eastAsiaTheme="minorEastAsia" w:hAnsi="Times New Roman" w:cs="Times New Roman"/>
          <w:iCs/>
          <w:sz w:val="24"/>
          <w:szCs w:val="24"/>
        </w:rPr>
        <w:t xml:space="preserve">     </w:t>
      </w:r>
      <w:r w:rsidR="005B3AF2" w:rsidRPr="006E423F">
        <w:rPr>
          <w:rFonts w:ascii="Times New Roman" w:eastAsiaTheme="minorEastAsia" w:hAnsi="Times New Roman" w:cs="Times New Roman"/>
          <w:iCs/>
          <w:sz w:val="24"/>
          <w:szCs w:val="24"/>
        </w:rPr>
        <w:t xml:space="preserve">    </w:t>
      </w:r>
    </w:p>
    <w:p w:rsidR="00FC627B" w:rsidRPr="006E423F" w:rsidRDefault="008B2449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iCs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b/>
          <w:iCs/>
          <w:sz w:val="24"/>
          <w:szCs w:val="24"/>
        </w:rPr>
        <w:t xml:space="preserve">Profitability analysis. </w:t>
      </w:r>
      <w:r w:rsidR="00433AC7" w:rsidRPr="006E423F">
        <w:rPr>
          <w:rFonts w:ascii="Times New Roman" w:eastAsiaTheme="minorEastAsia" w:hAnsi="Times New Roman" w:cs="Times New Roman"/>
          <w:iCs/>
          <w:sz w:val="24"/>
          <w:szCs w:val="24"/>
        </w:rPr>
        <w:t xml:space="preserve">The production cost per fish was 1.90 USD for </w:t>
      </w:r>
      <w:r w:rsidR="00433AC7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Silver Cup® and 1.74 USD for </w:t>
      </w:r>
      <w:r w:rsidR="00AD78BD" w:rsidRPr="006E423F">
        <w:rPr>
          <w:rFonts w:ascii="Times New Roman" w:eastAsiaTheme="minorEastAsia" w:hAnsi="Times New Roman" w:cs="Times New Roman"/>
          <w:sz w:val="24"/>
          <w:szCs w:val="24"/>
        </w:rPr>
        <w:t>Super</w:t>
      </w:r>
      <w:r w:rsidR="00433AC7" w:rsidRPr="006E423F">
        <w:rPr>
          <w:rFonts w:ascii="Times New Roman" w:eastAsiaTheme="minorEastAsia" w:hAnsi="Times New Roman" w:cs="Times New Roman"/>
          <w:sz w:val="24"/>
          <w:szCs w:val="24"/>
        </w:rPr>
        <w:t>®, not taking in consideration the initial investment. This costs allow to obtain almost double profits having a market value of 4.23 USD</w:t>
      </w:r>
      <w:r w:rsidR="00FC627B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, which indicates that producing 3 600 fish is superior to the balance point, suggesting that both methods are better than the one used by González </w:t>
      </w:r>
      <w:r w:rsidR="00FC627B" w:rsidRPr="00786930">
        <w:rPr>
          <w:rFonts w:ascii="Times New Roman" w:eastAsiaTheme="minorEastAsia" w:hAnsi="Times New Roman" w:cs="Times New Roman"/>
          <w:i/>
          <w:sz w:val="24"/>
          <w:szCs w:val="24"/>
        </w:rPr>
        <w:t>et al</w:t>
      </w:r>
      <w:r w:rsidR="00FC627B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. (2011), where they found that in order to reach the balance point is need it to produce 7 875 organisms of 500 g. </w:t>
      </w:r>
    </w:p>
    <w:p w:rsidR="00923D79" w:rsidRPr="006E423F" w:rsidRDefault="00FC627B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sz w:val="24"/>
          <w:szCs w:val="24"/>
        </w:rPr>
        <w:lastRenderedPageBreak/>
        <w:t>The profitability indicators of this study (Table 4), indicated that both treatments have an economic viability, because NPV in both cases was positive, C/B was greater to one, indicating that with each dollar invest the profit will be 0.49 USD for both cases. Both IRR are acceptable, which are gre</w:t>
      </w:r>
      <w:r w:rsidR="0084758F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ater than the MARR set in 10% yield, according to proposed by Barry &amp; </w:t>
      </w:r>
      <w:proofErr w:type="spellStart"/>
      <w:r w:rsidR="0084758F" w:rsidRPr="006E423F">
        <w:rPr>
          <w:rFonts w:ascii="Times New Roman" w:eastAsiaTheme="minorEastAsia" w:hAnsi="Times New Roman" w:cs="Times New Roman"/>
          <w:sz w:val="24"/>
          <w:szCs w:val="24"/>
        </w:rPr>
        <w:t>Ellinger</w:t>
      </w:r>
      <w:proofErr w:type="spellEnd"/>
      <w:r w:rsidR="0084758F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(2010), that the </w:t>
      </w:r>
      <w:r w:rsidR="00D138BC" w:rsidRPr="006E423F">
        <w:rPr>
          <w:rFonts w:ascii="Times New Roman" w:eastAsiaTheme="minorEastAsia" w:hAnsi="Times New Roman" w:cs="Times New Roman"/>
          <w:sz w:val="24"/>
          <w:szCs w:val="24"/>
        </w:rPr>
        <w:t>grow-out</w:t>
      </w:r>
      <w:r w:rsidR="0084758F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of tropical gar with both diets is a profitable business.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BC16B5" w:rsidRPr="006E423F" w:rsidRDefault="00EB0FEC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As the profitability is greater with Silver Cup®, added to the differences found in individual growth during </w:t>
      </w:r>
      <w:r w:rsidR="00D138BC" w:rsidRPr="006E423F">
        <w:rPr>
          <w:rFonts w:ascii="Times New Roman" w:eastAsiaTheme="minorEastAsia" w:hAnsi="Times New Roman" w:cs="Times New Roman"/>
          <w:sz w:val="24"/>
          <w:szCs w:val="24"/>
        </w:rPr>
        <w:t>grow-out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with </w:t>
      </w:r>
      <w:r w:rsidR="00317FF6" w:rsidRPr="006E423F">
        <w:rPr>
          <w:rFonts w:ascii="Times New Roman" w:eastAsiaTheme="minorEastAsia" w:hAnsi="Times New Roman" w:cs="Times New Roman"/>
          <w:sz w:val="24"/>
          <w:szCs w:val="24"/>
        </w:rPr>
        <w:t>Super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® could suggest that an increment in protein availability in the diet might result in better growth as proved in de </w:t>
      </w:r>
      <w:proofErr w:type="spellStart"/>
      <w:r w:rsidRPr="006E423F">
        <w:rPr>
          <w:rFonts w:ascii="Times New Roman" w:eastAsiaTheme="minorEastAsia" w:hAnsi="Times New Roman" w:cs="Times New Roman"/>
          <w:i/>
          <w:sz w:val="24"/>
          <w:szCs w:val="24"/>
        </w:rPr>
        <w:t>Oncorhynchus</w:t>
      </w:r>
      <w:proofErr w:type="spellEnd"/>
      <w:r w:rsidRPr="006E423F">
        <w:rPr>
          <w:rFonts w:ascii="Times New Roman" w:eastAsiaTheme="minorEastAsia" w:hAnsi="Times New Roman" w:cs="Times New Roman"/>
          <w:i/>
          <w:sz w:val="24"/>
          <w:szCs w:val="24"/>
        </w:rPr>
        <w:t xml:space="preserve"> mykiss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spellStart"/>
      <w:r w:rsidRPr="006E423F">
        <w:rPr>
          <w:rFonts w:ascii="Times New Roman" w:eastAsiaTheme="minorEastAsia" w:hAnsi="Times New Roman" w:cs="Times New Roman"/>
          <w:sz w:val="24"/>
          <w:szCs w:val="24"/>
        </w:rPr>
        <w:t>García-Macías</w:t>
      </w:r>
      <w:proofErr w:type="spellEnd"/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786930">
        <w:rPr>
          <w:rFonts w:ascii="Times New Roman" w:eastAsiaTheme="minorEastAsia" w:hAnsi="Times New Roman" w:cs="Times New Roman"/>
          <w:i/>
          <w:sz w:val="24"/>
          <w:szCs w:val="24"/>
        </w:rPr>
        <w:t>et al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., 2004), which also improve the profitability indicators with diet </w:t>
      </w:r>
      <w:r w:rsidR="00317FF6" w:rsidRPr="006E423F">
        <w:rPr>
          <w:rFonts w:ascii="Times New Roman" w:eastAsiaTheme="minorEastAsia" w:hAnsi="Times New Roman" w:cs="Times New Roman"/>
          <w:sz w:val="24"/>
          <w:szCs w:val="24"/>
        </w:rPr>
        <w:t>Super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>®</w:t>
      </w:r>
    </w:p>
    <w:p w:rsidR="00EB0FEC" w:rsidRPr="006E423F" w:rsidRDefault="00EB0FEC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sz w:val="24"/>
          <w:szCs w:val="24"/>
        </w:rPr>
        <w:t>NPV and C/B obtained in this stu</w:t>
      </w:r>
      <w:r w:rsidR="009505E0">
        <w:rPr>
          <w:rFonts w:ascii="Times New Roman" w:eastAsiaTheme="minorEastAsia" w:hAnsi="Times New Roman" w:cs="Times New Roman"/>
          <w:sz w:val="24"/>
          <w:szCs w:val="24"/>
        </w:rPr>
        <w:t>dy for both cases (Table 4) was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superior to </w:t>
      </w:r>
      <w:r w:rsidR="008B2457" w:rsidRPr="006E423F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hose reported by González </w:t>
      </w:r>
      <w:r w:rsidRPr="00786930">
        <w:rPr>
          <w:rFonts w:ascii="Times New Roman" w:eastAsiaTheme="minorEastAsia" w:hAnsi="Times New Roman" w:cs="Times New Roman"/>
          <w:i/>
          <w:sz w:val="24"/>
          <w:szCs w:val="24"/>
        </w:rPr>
        <w:t>et al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8B2457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(2011) with Silver Cup®, obtaining a NPV of 6 333.25 USD and a C/B of 1.08 USD.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C600CE" w:rsidRPr="006E423F" w:rsidRDefault="008B2457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Our IRR for both diets is greater than those obtained by González </w:t>
      </w:r>
      <w:r w:rsidRPr="00786930">
        <w:rPr>
          <w:rFonts w:ascii="Times New Roman" w:eastAsiaTheme="minorEastAsia" w:hAnsi="Times New Roman" w:cs="Times New Roman"/>
          <w:i/>
          <w:sz w:val="24"/>
          <w:szCs w:val="24"/>
        </w:rPr>
        <w:t>et al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>. (2011) (25.6%), which suggest that a monoculture with both diets, could be an activity with high potential</w:t>
      </w:r>
      <w:r w:rsidR="009505E0">
        <w:rPr>
          <w:rFonts w:ascii="Times New Roman" w:eastAsiaTheme="minorEastAsia" w:hAnsi="Times New Roman" w:cs="Times New Roman"/>
          <w:sz w:val="24"/>
          <w:szCs w:val="24"/>
        </w:rPr>
        <w:t xml:space="preserve"> for </w:t>
      </w:r>
      <w:r w:rsidR="009505E0" w:rsidRPr="006E423F">
        <w:rPr>
          <w:rFonts w:ascii="Times New Roman" w:eastAsiaTheme="minorEastAsia" w:hAnsi="Times New Roman" w:cs="Times New Roman"/>
          <w:sz w:val="24"/>
          <w:szCs w:val="24"/>
        </w:rPr>
        <w:t>investment</w:t>
      </w:r>
      <w:r w:rsidR="009505E0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return. This same author suggests that a polyculture with species such as; </w:t>
      </w:r>
      <w:proofErr w:type="spellStart"/>
      <w:r w:rsidRPr="006E423F">
        <w:rPr>
          <w:rFonts w:ascii="Times New Roman" w:eastAsiaTheme="minorEastAsia" w:hAnsi="Times New Roman" w:cs="Times New Roman"/>
          <w:sz w:val="24"/>
          <w:szCs w:val="24"/>
        </w:rPr>
        <w:t>mayan</w:t>
      </w:r>
      <w:proofErr w:type="spellEnd"/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cichlid (</w:t>
      </w:r>
      <w:proofErr w:type="spellStart"/>
      <w:r w:rsidRPr="006E423F">
        <w:rPr>
          <w:rFonts w:ascii="Times New Roman" w:eastAsiaTheme="minorEastAsia" w:hAnsi="Times New Roman" w:cs="Times New Roman"/>
          <w:i/>
          <w:sz w:val="24"/>
          <w:szCs w:val="24"/>
        </w:rPr>
        <w:t>Cichlasoma</w:t>
      </w:r>
      <w:proofErr w:type="spellEnd"/>
      <w:r w:rsidRPr="006E423F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proofErr w:type="spellStart"/>
      <w:r w:rsidRPr="006E423F">
        <w:rPr>
          <w:rFonts w:ascii="Times New Roman" w:eastAsiaTheme="minorEastAsia" w:hAnsi="Times New Roman" w:cs="Times New Roman"/>
          <w:i/>
          <w:sz w:val="24"/>
          <w:szCs w:val="24"/>
        </w:rPr>
        <w:t>urophthalmus</w:t>
      </w:r>
      <w:proofErr w:type="spellEnd"/>
      <w:r w:rsidRPr="006E423F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6E423F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>and tilapia (</w:t>
      </w:r>
      <w:proofErr w:type="spellStart"/>
      <w:r w:rsidRPr="006E423F">
        <w:rPr>
          <w:rFonts w:ascii="Times New Roman" w:eastAsiaTheme="minorEastAsia" w:hAnsi="Times New Roman" w:cs="Times New Roman"/>
          <w:i/>
          <w:sz w:val="24"/>
          <w:szCs w:val="24"/>
        </w:rPr>
        <w:t>Oreochromis</w:t>
      </w:r>
      <w:proofErr w:type="spellEnd"/>
      <w:r w:rsidRPr="006E423F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proofErr w:type="spellStart"/>
      <w:r w:rsidRPr="006E423F">
        <w:rPr>
          <w:rFonts w:ascii="Times New Roman" w:eastAsiaTheme="minorEastAsia" w:hAnsi="Times New Roman" w:cs="Times New Roman"/>
          <w:i/>
          <w:sz w:val="24"/>
          <w:szCs w:val="24"/>
        </w:rPr>
        <w:t>niloticus</w:t>
      </w:r>
      <w:proofErr w:type="spellEnd"/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), could considerably increment the profitability indicators </w:t>
      </w:r>
      <w:r w:rsidR="00C600CE" w:rsidRPr="006E423F">
        <w:rPr>
          <w:rFonts w:ascii="Times New Roman" w:eastAsiaTheme="minorEastAsia" w:hAnsi="Times New Roman" w:cs="Times New Roman"/>
          <w:sz w:val="24"/>
          <w:szCs w:val="24"/>
        </w:rPr>
        <w:t>having a IRR of 145%. Even if polyculture could amortize the investment in tropical gar production, this will increment considerably the grow-out time by decreasing the feed conversion ratio from 1.9 in monoculture to 0.9 in polyculture (</w:t>
      </w:r>
      <w:proofErr w:type="spellStart"/>
      <w:r w:rsidR="00C600CE" w:rsidRPr="006E423F">
        <w:rPr>
          <w:rFonts w:ascii="Times New Roman" w:eastAsiaTheme="minorEastAsia" w:hAnsi="Times New Roman" w:cs="Times New Roman"/>
          <w:sz w:val="24"/>
          <w:szCs w:val="24"/>
        </w:rPr>
        <w:t>Márquez</w:t>
      </w:r>
      <w:proofErr w:type="spellEnd"/>
      <w:r w:rsidR="00C600CE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-Couturier </w:t>
      </w:r>
      <w:r w:rsidR="00C600CE" w:rsidRPr="00786930">
        <w:rPr>
          <w:rFonts w:ascii="Times New Roman" w:eastAsiaTheme="minorEastAsia" w:hAnsi="Times New Roman" w:cs="Times New Roman"/>
          <w:i/>
          <w:sz w:val="24"/>
          <w:szCs w:val="24"/>
        </w:rPr>
        <w:t>et al</w:t>
      </w:r>
      <w:r w:rsidR="00C600CE" w:rsidRPr="006E423F">
        <w:rPr>
          <w:rFonts w:ascii="Times New Roman" w:eastAsiaTheme="minorEastAsia" w:hAnsi="Times New Roman" w:cs="Times New Roman"/>
          <w:sz w:val="24"/>
          <w:szCs w:val="24"/>
        </w:rPr>
        <w:t>., 2013), suggesting a considerable increment in energetics and labor costs.</w:t>
      </w:r>
    </w:p>
    <w:p w:rsidR="00CB5314" w:rsidRPr="006E423F" w:rsidRDefault="00C600CE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Despite the less growth using </w:t>
      </w:r>
      <w:r w:rsidR="002332E8">
        <w:rPr>
          <w:rFonts w:ascii="Times New Roman" w:eastAsiaTheme="minorEastAsia" w:hAnsi="Times New Roman" w:cs="Times New Roman"/>
          <w:sz w:val="24"/>
          <w:szCs w:val="24"/>
        </w:rPr>
        <w:t xml:space="preserve">Super®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>diet, the proximal analysis showed that the nutritional value based on greater protein and less lipids content was greater</w:t>
      </w:r>
      <w:r w:rsidR="00CB5314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than using Silver Cup®, thus, this suggest a better product with higher carcass meat yield. </w:t>
      </w:r>
    </w:p>
    <w:p w:rsidR="008B2457" w:rsidRPr="006E423F" w:rsidRDefault="00CB5314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IRR, C/B and NPV of tropical gar production indicated profitability using both diets. A better nutritional quality was observed using </w:t>
      </w:r>
      <w:r w:rsidR="002332E8">
        <w:rPr>
          <w:rFonts w:ascii="Times New Roman" w:eastAsiaTheme="minorEastAsia" w:hAnsi="Times New Roman" w:cs="Times New Roman"/>
          <w:sz w:val="24"/>
          <w:szCs w:val="24"/>
        </w:rPr>
        <w:t xml:space="preserve">Super®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diet, less feeding cost, as well as better market adaptability, so it is concluded </w:t>
      </w:r>
      <w:r w:rsidR="00FE1B2B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that using </w:t>
      </w:r>
      <w:r w:rsidR="002332E8">
        <w:rPr>
          <w:rFonts w:ascii="Times New Roman" w:eastAsiaTheme="minorEastAsia" w:hAnsi="Times New Roman" w:cs="Times New Roman"/>
          <w:sz w:val="24"/>
          <w:szCs w:val="24"/>
        </w:rPr>
        <w:t xml:space="preserve">Super® </w:t>
      </w:r>
      <w:r w:rsidR="00FE1B2B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feed for grow-out tropical gar is a better alternative in a pilot commercial scale. 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C600CE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          </w:t>
      </w:r>
      <w:r w:rsidR="008B2457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</w:p>
    <w:p w:rsidR="0028176E" w:rsidRPr="006E423F" w:rsidRDefault="008B2449" w:rsidP="00DA1A1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b/>
          <w:sz w:val="24"/>
          <w:szCs w:val="24"/>
        </w:rPr>
        <w:t>Acknowledgements</w:t>
      </w:r>
    </w:p>
    <w:p w:rsidR="0028176E" w:rsidRPr="006E423F" w:rsidRDefault="007E153B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To </w:t>
      </w:r>
      <w:proofErr w:type="spellStart"/>
      <w:r w:rsidR="0028176E" w:rsidRPr="006E423F">
        <w:rPr>
          <w:rFonts w:ascii="Times New Roman" w:eastAsiaTheme="minorEastAsia" w:hAnsi="Times New Roman" w:cs="Times New Roman"/>
          <w:sz w:val="24"/>
          <w:szCs w:val="24"/>
        </w:rPr>
        <w:t>Consejo</w:t>
      </w:r>
      <w:proofErr w:type="spellEnd"/>
      <w:r w:rsidR="0028176E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Nacional de </w:t>
      </w:r>
      <w:proofErr w:type="spellStart"/>
      <w:r w:rsidR="0028176E" w:rsidRPr="006E423F">
        <w:rPr>
          <w:rFonts w:ascii="Times New Roman" w:eastAsiaTheme="minorEastAsia" w:hAnsi="Times New Roman" w:cs="Times New Roman"/>
          <w:sz w:val="24"/>
          <w:szCs w:val="24"/>
        </w:rPr>
        <w:t>Ciencia</w:t>
      </w:r>
      <w:proofErr w:type="spellEnd"/>
      <w:r w:rsidR="0028176E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y </w:t>
      </w:r>
      <w:proofErr w:type="spellStart"/>
      <w:r w:rsidR="0028176E" w:rsidRPr="006E423F">
        <w:rPr>
          <w:rFonts w:ascii="Times New Roman" w:eastAsiaTheme="minorEastAsia" w:hAnsi="Times New Roman" w:cs="Times New Roman"/>
          <w:sz w:val="24"/>
          <w:szCs w:val="24"/>
        </w:rPr>
        <w:t>Tecnología</w:t>
      </w:r>
      <w:proofErr w:type="spellEnd"/>
      <w:r w:rsidR="0028176E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(CONACYT) </w:t>
      </w:r>
      <w:r w:rsidR="008D1D61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for the student fellowship. And to </w:t>
      </w:r>
      <w:proofErr w:type="spellStart"/>
      <w:r w:rsidR="008D1D61" w:rsidRPr="006E423F">
        <w:rPr>
          <w:rFonts w:ascii="Times New Roman" w:eastAsiaTheme="minorEastAsia" w:hAnsi="Times New Roman" w:cs="Times New Roman"/>
          <w:sz w:val="24"/>
          <w:szCs w:val="24"/>
        </w:rPr>
        <w:t>Programa</w:t>
      </w:r>
      <w:proofErr w:type="spellEnd"/>
      <w:r w:rsidR="008D1D61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de </w:t>
      </w:r>
      <w:proofErr w:type="spellStart"/>
      <w:r w:rsidR="008D1D61" w:rsidRPr="006E423F">
        <w:rPr>
          <w:rFonts w:ascii="Times New Roman" w:eastAsiaTheme="minorEastAsia" w:hAnsi="Times New Roman" w:cs="Times New Roman"/>
          <w:sz w:val="24"/>
          <w:szCs w:val="24"/>
        </w:rPr>
        <w:t>Fortalecimiento</w:t>
      </w:r>
      <w:proofErr w:type="spellEnd"/>
      <w:r w:rsidR="008D1D61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de la </w:t>
      </w:r>
      <w:proofErr w:type="spellStart"/>
      <w:r w:rsidR="008D1D61" w:rsidRPr="006E423F">
        <w:rPr>
          <w:rFonts w:ascii="Times New Roman" w:eastAsiaTheme="minorEastAsia" w:hAnsi="Times New Roman" w:cs="Times New Roman"/>
          <w:sz w:val="24"/>
          <w:szCs w:val="24"/>
        </w:rPr>
        <w:t>Calidad</w:t>
      </w:r>
      <w:proofErr w:type="spellEnd"/>
      <w:r w:rsidR="008D1D61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8D1D61" w:rsidRPr="006E423F">
        <w:rPr>
          <w:rFonts w:ascii="Times New Roman" w:eastAsiaTheme="minorEastAsia" w:hAnsi="Times New Roman" w:cs="Times New Roman"/>
          <w:sz w:val="24"/>
          <w:szCs w:val="24"/>
        </w:rPr>
        <w:t>Educativa</w:t>
      </w:r>
      <w:proofErr w:type="spellEnd"/>
      <w:r w:rsidR="008D1D61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(PFCE), SEP, for publishing funds. </w:t>
      </w:r>
    </w:p>
    <w:p w:rsidR="008B2449" w:rsidRPr="006E423F" w:rsidRDefault="008B2449" w:rsidP="00DA1A1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B2449" w:rsidRPr="006E423F" w:rsidRDefault="008B2449" w:rsidP="00DA1A19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F408B1" w:rsidRPr="008D1D61" w:rsidRDefault="00F408B1" w:rsidP="00F408B1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References</w:t>
      </w:r>
    </w:p>
    <w:p w:rsidR="00F408B1" w:rsidRPr="00070845" w:rsidRDefault="00F408B1" w:rsidP="00F408B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s-MX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Barry, P.J. &amp; P.N.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Ellinger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 2010.</w:t>
      </w:r>
      <w:r w:rsidRPr="008D1D6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718ED">
        <w:rPr>
          <w:rFonts w:ascii="Times New Roman" w:eastAsiaTheme="minorEastAsia" w:hAnsi="Times New Roman" w:cs="Times New Roman"/>
          <w:sz w:val="24"/>
          <w:szCs w:val="24"/>
        </w:rPr>
        <w:t>Financial Management in Agriculture</w:t>
      </w:r>
      <w:r w:rsidRPr="008D1D61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F408B1">
        <w:rPr>
          <w:rFonts w:ascii="Times New Roman" w:eastAsiaTheme="minorEastAsia" w:hAnsi="Times New Roman" w:cs="Times New Roman"/>
          <w:sz w:val="24"/>
          <w:szCs w:val="24"/>
        </w:rPr>
        <w:t xml:space="preserve">Prentice Hall. </w:t>
      </w:r>
      <w:proofErr w:type="spellStart"/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>En</w:t>
      </w: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glewood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Cliffs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, New Jersey, 416 pp.</w:t>
      </w:r>
    </w:p>
    <w:p w:rsidR="00F408B1" w:rsidRPr="00070845" w:rsidRDefault="00F408B1" w:rsidP="00F408B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s-MX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Carrillo, O.H.L. 2011.</w:t>
      </w: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</w:t>
      </w:r>
      <w:r w:rsidRPr="001718ED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Evaluación del potencial acuícola de </w:t>
      </w:r>
      <w:proofErr w:type="spellStart"/>
      <w:r w:rsidRPr="001718ED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>Atractosteus</w:t>
      </w:r>
      <w:proofErr w:type="spellEnd"/>
      <w:r w:rsidRPr="001718ED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 xml:space="preserve"> </w:t>
      </w:r>
      <w:proofErr w:type="spellStart"/>
      <w:r w:rsidRPr="001718ED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>tropicus</w:t>
      </w:r>
      <w:proofErr w:type="spellEnd"/>
      <w:r w:rsidRPr="001718ED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(</w:t>
      </w:r>
      <w:proofErr w:type="spellStart"/>
      <w:r w:rsidRPr="001718ED">
        <w:rPr>
          <w:rFonts w:ascii="Times New Roman" w:eastAsiaTheme="minorEastAsia" w:hAnsi="Times New Roman" w:cs="Times New Roman"/>
          <w:sz w:val="24"/>
          <w:szCs w:val="24"/>
          <w:lang w:val="es-MX"/>
        </w:rPr>
        <w:t>Pejelagarto</w:t>
      </w:r>
      <w:proofErr w:type="spellEnd"/>
      <w:r w:rsidRPr="001718ED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) para la diversificación de la </w:t>
      </w:r>
      <w:proofErr w:type="spellStart"/>
      <w:r w:rsidRPr="001718ED">
        <w:rPr>
          <w:rFonts w:ascii="Times New Roman" w:eastAsiaTheme="minorEastAsia" w:hAnsi="Times New Roman" w:cs="Times New Roman"/>
          <w:sz w:val="24"/>
          <w:szCs w:val="24"/>
          <w:lang w:val="es-MX"/>
        </w:rPr>
        <w:t>psicultura</w:t>
      </w:r>
      <w:proofErr w:type="spellEnd"/>
      <w:r w:rsidRPr="001718ED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nacional. </w:t>
      </w: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FODECYT, Centro de </w:t>
      </w:r>
      <w:proofErr w:type="spellStart"/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>Esudios</w:t>
      </w:r>
      <w:proofErr w:type="spellEnd"/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del Mar y Acuicultura, Guatemala, Guatemala.</w:t>
      </w:r>
    </w:p>
    <w:p w:rsidR="00F408B1" w:rsidRPr="008D1D61" w:rsidRDefault="00F408B1" w:rsidP="00F408B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>Castro, M.</w:t>
      </w: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J., R.Y.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Espindola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, M.G. Castro &amp; G.J.C.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Cremiux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. 2009.</w:t>
      </w: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Efecto de dos dietas protei</w:t>
      </w:r>
      <w:r w:rsidRPr="001D0D14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cas en el crecimiento y sobrevivencia de </w:t>
      </w:r>
      <w:proofErr w:type="spellStart"/>
      <w:r w:rsidRPr="001D0D14">
        <w:rPr>
          <w:rFonts w:ascii="Times New Roman" w:eastAsiaTheme="minorEastAsia" w:hAnsi="Times New Roman" w:cs="Times New Roman"/>
          <w:sz w:val="24"/>
          <w:szCs w:val="24"/>
          <w:lang w:val="es-MX"/>
        </w:rPr>
        <w:t>prejuveniles</w:t>
      </w:r>
      <w:proofErr w:type="spellEnd"/>
      <w:r w:rsidRPr="001D0D14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de</w:t>
      </w:r>
      <w:r w:rsidRPr="00070845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 xml:space="preserve"> </w:t>
      </w:r>
      <w:proofErr w:type="spellStart"/>
      <w:r w:rsidRPr="00070845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>Atractosteus</w:t>
      </w:r>
      <w:proofErr w:type="spellEnd"/>
      <w:r w:rsidRPr="00070845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 xml:space="preserve"> </w:t>
      </w:r>
      <w:proofErr w:type="spellStart"/>
      <w:r w:rsidRPr="00070845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>tropicus</w:t>
      </w:r>
      <w:proofErr w:type="spellEnd"/>
      <w:r w:rsidRPr="00070845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 xml:space="preserve"> </w:t>
      </w:r>
      <w:r w:rsidRPr="001D0D14">
        <w:rPr>
          <w:rFonts w:ascii="Times New Roman" w:eastAsiaTheme="minorEastAsia" w:hAnsi="Times New Roman" w:cs="Times New Roman"/>
          <w:sz w:val="24"/>
          <w:szCs w:val="24"/>
          <w:lang w:val="es-MX"/>
        </w:rPr>
        <w:t>Gill. 1863 (</w:t>
      </w:r>
      <w:proofErr w:type="spellStart"/>
      <w:r w:rsidRPr="001D0D14">
        <w:rPr>
          <w:rFonts w:ascii="Times New Roman" w:eastAsiaTheme="minorEastAsia" w:hAnsi="Times New Roman" w:cs="Times New Roman"/>
          <w:sz w:val="24"/>
          <w:szCs w:val="24"/>
          <w:lang w:val="es-MX"/>
        </w:rPr>
        <w:t>Pejelagarto</w:t>
      </w:r>
      <w:proofErr w:type="spellEnd"/>
      <w:r w:rsidRPr="001D0D14">
        <w:rPr>
          <w:rFonts w:ascii="Times New Roman" w:eastAsiaTheme="minorEastAsia" w:hAnsi="Times New Roman" w:cs="Times New Roman"/>
          <w:sz w:val="24"/>
          <w:szCs w:val="24"/>
          <w:lang w:val="es-MX"/>
        </w:rPr>
        <w:t>)</w:t>
      </w: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BIOCYT, 2(8): </w:t>
      </w:r>
      <w:r w:rsidRPr="008D1D61">
        <w:rPr>
          <w:rFonts w:ascii="Times New Roman" w:eastAsiaTheme="minorEastAsia" w:hAnsi="Times New Roman" w:cs="Times New Roman"/>
          <w:sz w:val="24"/>
          <w:szCs w:val="24"/>
        </w:rPr>
        <w:t>77-88.</w:t>
      </w:r>
    </w:p>
    <w:p w:rsidR="00F408B1" w:rsidRPr="00070845" w:rsidRDefault="00F408B1" w:rsidP="00F408B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s-MX"/>
        </w:rPr>
      </w:pPr>
      <w:r w:rsidRPr="008D1D61">
        <w:rPr>
          <w:rFonts w:ascii="Times New Roman" w:eastAsiaTheme="minorEastAsia" w:hAnsi="Times New Roman" w:cs="Times New Roman"/>
          <w:sz w:val="24"/>
          <w:szCs w:val="24"/>
        </w:rPr>
        <w:t xml:space="preserve">Francesco, M., G. </w:t>
      </w:r>
      <w:proofErr w:type="spellStart"/>
      <w:r w:rsidRPr="008D1D61">
        <w:rPr>
          <w:rFonts w:ascii="Times New Roman" w:eastAsiaTheme="minorEastAsia" w:hAnsi="Times New Roman" w:cs="Times New Roman"/>
          <w:sz w:val="24"/>
          <w:szCs w:val="24"/>
        </w:rPr>
        <w:t>Parisi</w:t>
      </w:r>
      <w:proofErr w:type="spellEnd"/>
      <w:r w:rsidRPr="008D1D61">
        <w:rPr>
          <w:rFonts w:ascii="Times New Roman" w:eastAsiaTheme="minorEastAsia" w:hAnsi="Times New Roman" w:cs="Times New Roman"/>
          <w:sz w:val="24"/>
          <w:szCs w:val="24"/>
        </w:rPr>
        <w:t xml:space="preserve">, F. </w:t>
      </w:r>
      <w:proofErr w:type="spellStart"/>
      <w:r w:rsidRPr="008D1D61">
        <w:rPr>
          <w:rFonts w:ascii="Times New Roman" w:eastAsiaTheme="minorEastAsia" w:hAnsi="Times New Roman" w:cs="Times New Roman"/>
          <w:sz w:val="24"/>
          <w:szCs w:val="24"/>
        </w:rPr>
        <w:t>Médale</w:t>
      </w:r>
      <w:proofErr w:type="spellEnd"/>
      <w:r w:rsidRPr="008D1D61">
        <w:rPr>
          <w:rFonts w:ascii="Times New Roman" w:eastAsiaTheme="minorEastAsia" w:hAnsi="Times New Roman" w:cs="Times New Roman"/>
          <w:sz w:val="24"/>
          <w:szCs w:val="24"/>
        </w:rPr>
        <w:t xml:space="preserve">, P. </w:t>
      </w:r>
      <w:proofErr w:type="spellStart"/>
      <w:r w:rsidRPr="008D1D61">
        <w:rPr>
          <w:rFonts w:ascii="Times New Roman" w:eastAsiaTheme="minorEastAsia" w:hAnsi="Times New Roman" w:cs="Times New Roman"/>
          <w:sz w:val="24"/>
          <w:szCs w:val="24"/>
        </w:rPr>
        <w:t>Lupi</w:t>
      </w:r>
      <w:proofErr w:type="spellEnd"/>
      <w:r w:rsidRPr="008D1D61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S.J. Kaushik &amp; B.M.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Poli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 2004.</w:t>
      </w:r>
      <w:r w:rsidRPr="008D1D6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D0D14">
        <w:rPr>
          <w:rFonts w:ascii="Times New Roman" w:eastAsiaTheme="minorEastAsia" w:hAnsi="Times New Roman" w:cs="Times New Roman"/>
          <w:sz w:val="24"/>
          <w:szCs w:val="24"/>
        </w:rPr>
        <w:t>Effect of long-term feeding with a plant protein mixture based diet on growth and body/filler quality traits of large rainbow trout</w:t>
      </w:r>
      <w:r w:rsidRPr="008D1D61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CD190E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 w:rsidRPr="008D1D61">
        <w:rPr>
          <w:rFonts w:ascii="Times New Roman" w:eastAsiaTheme="minorEastAsia" w:hAnsi="Times New Roman" w:cs="Times New Roman"/>
          <w:i/>
          <w:sz w:val="24"/>
          <w:szCs w:val="24"/>
        </w:rPr>
        <w:t>Oncorhynchus</w:t>
      </w:r>
      <w:proofErr w:type="spellEnd"/>
      <w:r w:rsidRPr="008D1D61">
        <w:rPr>
          <w:rFonts w:ascii="Times New Roman" w:eastAsiaTheme="minorEastAsia" w:hAnsi="Times New Roman" w:cs="Times New Roman"/>
          <w:i/>
          <w:sz w:val="24"/>
          <w:szCs w:val="24"/>
        </w:rPr>
        <w:t xml:space="preserve"> mykiss</w:t>
      </w:r>
      <w:r w:rsidRPr="00CD190E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8D1D61">
        <w:rPr>
          <w:rFonts w:ascii="Times New Roman" w:eastAsiaTheme="minorEastAsia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Aquaculture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,</w:t>
      </w: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236</w:t>
      </w: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:</w:t>
      </w: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413-429.</w:t>
      </w:r>
    </w:p>
    <w:p w:rsidR="00F408B1" w:rsidRPr="00070845" w:rsidRDefault="00F408B1" w:rsidP="00F408B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s-MX"/>
        </w:rPr>
      </w:pP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>Frías-Quintan</w:t>
      </w: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a, C.A., Álvarez-González, C.A. &amp; Márquez-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Couturier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, G. 2010.</w:t>
      </w: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CD190E">
        <w:rPr>
          <w:rFonts w:ascii="Times New Roman" w:eastAsiaTheme="minorEastAsia" w:hAnsi="Times New Roman" w:cs="Times New Roman"/>
          <w:sz w:val="24"/>
          <w:szCs w:val="24"/>
          <w:lang w:val="es-MX"/>
        </w:rPr>
        <w:t>Design</w:t>
      </w:r>
      <w:proofErr w:type="spellEnd"/>
      <w:r w:rsidRPr="00CD190E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CD190E">
        <w:rPr>
          <w:rFonts w:ascii="Times New Roman" w:eastAsiaTheme="minorEastAsia" w:hAnsi="Times New Roman" w:cs="Times New Roman"/>
          <w:sz w:val="24"/>
          <w:szCs w:val="24"/>
          <w:lang w:val="es-MX"/>
        </w:rPr>
        <w:t>the</w:t>
      </w:r>
      <w:proofErr w:type="spellEnd"/>
      <w:r w:rsidRPr="00CD190E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CD190E">
        <w:rPr>
          <w:rFonts w:ascii="Times New Roman" w:eastAsiaTheme="minorEastAsia" w:hAnsi="Times New Roman" w:cs="Times New Roman"/>
          <w:sz w:val="24"/>
          <w:szCs w:val="24"/>
          <w:lang w:val="es-MX"/>
        </w:rPr>
        <w:t>microdiets</w:t>
      </w:r>
      <w:proofErr w:type="spellEnd"/>
      <w:r w:rsidRPr="00CD190E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CD190E">
        <w:rPr>
          <w:rFonts w:ascii="Times New Roman" w:eastAsiaTheme="minorEastAsia" w:hAnsi="Times New Roman" w:cs="Times New Roman"/>
          <w:sz w:val="24"/>
          <w:szCs w:val="24"/>
          <w:lang w:val="es-MX"/>
        </w:rPr>
        <w:t>for</w:t>
      </w:r>
      <w:proofErr w:type="spellEnd"/>
      <w:r w:rsidRPr="00CD190E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CD190E">
        <w:rPr>
          <w:rFonts w:ascii="Times New Roman" w:eastAsiaTheme="minorEastAsia" w:hAnsi="Times New Roman" w:cs="Times New Roman"/>
          <w:sz w:val="24"/>
          <w:szCs w:val="24"/>
          <w:lang w:val="es-MX"/>
        </w:rPr>
        <w:t>larvicultive</w:t>
      </w:r>
      <w:proofErr w:type="spellEnd"/>
      <w:r w:rsidRPr="00CD190E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CD190E">
        <w:rPr>
          <w:rFonts w:ascii="Times New Roman" w:eastAsiaTheme="minorEastAsia" w:hAnsi="Times New Roman" w:cs="Times New Roman"/>
          <w:sz w:val="24"/>
          <w:szCs w:val="24"/>
          <w:lang w:val="es-MX"/>
        </w:rPr>
        <w:t>alligator</w:t>
      </w:r>
      <w:proofErr w:type="spellEnd"/>
      <w:r w:rsidRPr="00CD190E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gar</w:t>
      </w:r>
      <w:r w:rsidRPr="00070845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 xml:space="preserve"> </w:t>
      </w:r>
      <w:proofErr w:type="spellStart"/>
      <w:r w:rsidRPr="00070845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>Atractosteus</w:t>
      </w:r>
      <w:proofErr w:type="spellEnd"/>
      <w:r w:rsidRPr="00070845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 xml:space="preserve"> </w:t>
      </w:r>
      <w:proofErr w:type="spellStart"/>
      <w:r w:rsidRPr="00070845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>tropicus</w:t>
      </w:r>
      <w:proofErr w:type="spellEnd"/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>. Universidad y Ciencia</w:t>
      </w: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. 26(2):</w:t>
      </w: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265–282.</w:t>
      </w:r>
    </w:p>
    <w:p w:rsidR="00F408B1" w:rsidRPr="00070845" w:rsidRDefault="00F408B1" w:rsidP="00F408B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s-MX"/>
        </w:rPr>
      </w:pP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>Frías-Quintana, C.A., G. Márquez-</w:t>
      </w:r>
      <w:proofErr w:type="spellStart"/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>Couturier</w:t>
      </w:r>
      <w:proofErr w:type="spellEnd"/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>, C.A. Álvarez-González, D. Tovar-Ramírez, H. Nolas</w:t>
      </w: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co-Soria, M.A. Galaviz-Espinosa &amp; E.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Gisbert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. </w:t>
      </w:r>
      <w:r w:rsidRPr="00F408B1">
        <w:rPr>
          <w:rFonts w:ascii="Times New Roman" w:eastAsiaTheme="minorEastAsia" w:hAnsi="Times New Roman" w:cs="Times New Roman"/>
          <w:sz w:val="24"/>
          <w:szCs w:val="24"/>
        </w:rPr>
        <w:t>2015. Development of digestive tract and enzyme activities during the early ontogeny of the tropical gar</w:t>
      </w:r>
      <w:r w:rsidRPr="00F408B1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proofErr w:type="spellStart"/>
      <w:r w:rsidRPr="00F408B1">
        <w:rPr>
          <w:rFonts w:ascii="Times New Roman" w:eastAsiaTheme="minorEastAsia" w:hAnsi="Times New Roman" w:cs="Times New Roman"/>
          <w:i/>
          <w:sz w:val="24"/>
          <w:szCs w:val="24"/>
        </w:rPr>
        <w:t>Atractosteus</w:t>
      </w:r>
      <w:proofErr w:type="spellEnd"/>
      <w:r w:rsidRPr="00F408B1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proofErr w:type="spellStart"/>
      <w:r w:rsidRPr="00F408B1">
        <w:rPr>
          <w:rFonts w:ascii="Times New Roman" w:eastAsiaTheme="minorEastAsia" w:hAnsi="Times New Roman" w:cs="Times New Roman"/>
          <w:i/>
          <w:sz w:val="24"/>
          <w:szCs w:val="24"/>
        </w:rPr>
        <w:t>tropicus</w:t>
      </w:r>
      <w:proofErr w:type="spellEnd"/>
      <w:r w:rsidRPr="00F408B1">
        <w:rPr>
          <w:rFonts w:ascii="Times New Roman" w:eastAsiaTheme="minorEastAsia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Fish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P</w:t>
      </w: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>hys</w:t>
      </w: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iol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Biochem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.</w:t>
      </w: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41(5)</w:t>
      </w: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:</w:t>
      </w: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1075-1091.</w:t>
      </w:r>
    </w:p>
    <w:p w:rsidR="00F408B1" w:rsidRPr="00070845" w:rsidRDefault="00F408B1" w:rsidP="00F408B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s-MX"/>
        </w:rPr>
      </w:pP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>Frías-Quintana, C.A., J. Domínguez-Lorenzo, C.A. Álv</w:t>
      </w: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arez-González, D. Tovar-Ramírez &amp; R. Martínez-García. </w:t>
      </w:r>
      <w:r w:rsidRPr="00F408B1">
        <w:rPr>
          <w:rFonts w:ascii="Times New Roman" w:eastAsiaTheme="minorEastAsia" w:hAnsi="Times New Roman" w:cs="Times New Roman"/>
          <w:sz w:val="24"/>
          <w:szCs w:val="24"/>
        </w:rPr>
        <w:t xml:space="preserve">2016. Using cornstarch in </w:t>
      </w:r>
      <w:proofErr w:type="spellStart"/>
      <w:r w:rsidRPr="00F408B1">
        <w:rPr>
          <w:rFonts w:ascii="Times New Roman" w:eastAsiaTheme="minorEastAsia" w:hAnsi="Times New Roman" w:cs="Times New Roman"/>
          <w:sz w:val="24"/>
          <w:szCs w:val="24"/>
        </w:rPr>
        <w:t>microparticulate</w:t>
      </w:r>
      <w:proofErr w:type="spellEnd"/>
      <w:r w:rsidRPr="00F408B1">
        <w:rPr>
          <w:rFonts w:ascii="Times New Roman" w:eastAsiaTheme="minorEastAsia" w:hAnsi="Times New Roman" w:cs="Times New Roman"/>
          <w:sz w:val="24"/>
          <w:szCs w:val="24"/>
        </w:rPr>
        <w:t xml:space="preserve"> diets for </w:t>
      </w:r>
      <w:proofErr w:type="spellStart"/>
      <w:r w:rsidRPr="00F408B1">
        <w:rPr>
          <w:rFonts w:ascii="Times New Roman" w:eastAsiaTheme="minorEastAsia" w:hAnsi="Times New Roman" w:cs="Times New Roman"/>
          <w:sz w:val="24"/>
          <w:szCs w:val="24"/>
        </w:rPr>
        <w:t>larvicultured</w:t>
      </w:r>
      <w:proofErr w:type="spellEnd"/>
      <w:r w:rsidRPr="00F408B1">
        <w:rPr>
          <w:rFonts w:ascii="Times New Roman" w:eastAsiaTheme="minorEastAsia" w:hAnsi="Times New Roman" w:cs="Times New Roman"/>
          <w:sz w:val="24"/>
          <w:szCs w:val="24"/>
        </w:rPr>
        <w:t xml:space="preserve"> tropical gar </w:t>
      </w:r>
      <w:r w:rsidRPr="00F408B1">
        <w:rPr>
          <w:rFonts w:ascii="Times New Roman" w:eastAsiaTheme="minorEastAsia" w:hAnsi="Times New Roman" w:cs="Times New Roman"/>
          <w:i/>
          <w:sz w:val="24"/>
          <w:szCs w:val="24"/>
        </w:rPr>
        <w:t>(</w:t>
      </w:r>
      <w:proofErr w:type="spellStart"/>
      <w:r w:rsidRPr="00F408B1">
        <w:rPr>
          <w:rFonts w:ascii="Times New Roman" w:eastAsiaTheme="minorEastAsia" w:hAnsi="Times New Roman" w:cs="Times New Roman"/>
          <w:i/>
          <w:sz w:val="24"/>
          <w:szCs w:val="24"/>
        </w:rPr>
        <w:t>Atractosteus</w:t>
      </w:r>
      <w:proofErr w:type="spellEnd"/>
      <w:r w:rsidRPr="00F408B1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proofErr w:type="spellStart"/>
      <w:r w:rsidRPr="00F408B1">
        <w:rPr>
          <w:rFonts w:ascii="Times New Roman" w:eastAsiaTheme="minorEastAsia" w:hAnsi="Times New Roman" w:cs="Times New Roman"/>
          <w:i/>
          <w:sz w:val="24"/>
          <w:szCs w:val="24"/>
        </w:rPr>
        <w:t>tropicus</w:t>
      </w:r>
      <w:proofErr w:type="spellEnd"/>
      <w:r w:rsidRPr="00F408B1">
        <w:rPr>
          <w:rFonts w:ascii="Times New Roman" w:eastAsiaTheme="minorEastAsia" w:hAnsi="Times New Roman" w:cs="Times New Roman"/>
          <w:i/>
          <w:sz w:val="24"/>
          <w:szCs w:val="24"/>
        </w:rPr>
        <w:t>).</w:t>
      </w:r>
      <w:r w:rsidRPr="00F408B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Fish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Physiol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Biochem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. 42(2):</w:t>
      </w: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517-528.</w:t>
      </w:r>
    </w:p>
    <w:p w:rsidR="00F408B1" w:rsidRPr="00070845" w:rsidRDefault="00F408B1" w:rsidP="00F408B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s-MX"/>
        </w:rPr>
      </w:pP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>Frías-Quintana, C.A., C.A. Álvarez-González, D. Tovar-Ramírez, R. Martínez-Gar</w:t>
      </w: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cía, S. Camarillo-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Coop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, E. Peña &amp;</w:t>
      </w: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M.A. Galaviz</w:t>
      </w: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. </w:t>
      </w:r>
      <w:r w:rsidRPr="00F408B1">
        <w:rPr>
          <w:rFonts w:ascii="Times New Roman" w:eastAsiaTheme="minorEastAsia" w:hAnsi="Times New Roman" w:cs="Times New Roman"/>
          <w:sz w:val="24"/>
          <w:szCs w:val="24"/>
        </w:rPr>
        <w:t>2017. Use of potato starch in diets of tropical gar</w:t>
      </w:r>
      <w:r w:rsidRPr="00F408B1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F408B1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 w:rsidRPr="00F408B1">
        <w:rPr>
          <w:rFonts w:ascii="Times New Roman" w:eastAsiaTheme="minorEastAsia" w:hAnsi="Times New Roman" w:cs="Times New Roman"/>
          <w:i/>
          <w:sz w:val="24"/>
          <w:szCs w:val="24"/>
        </w:rPr>
        <w:t>Atractosteus</w:t>
      </w:r>
      <w:proofErr w:type="spellEnd"/>
      <w:r w:rsidRPr="00F408B1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proofErr w:type="spellStart"/>
      <w:r w:rsidRPr="00F408B1">
        <w:rPr>
          <w:rFonts w:ascii="Times New Roman" w:eastAsiaTheme="minorEastAsia" w:hAnsi="Times New Roman" w:cs="Times New Roman"/>
          <w:i/>
          <w:sz w:val="24"/>
          <w:szCs w:val="24"/>
        </w:rPr>
        <w:t>tropicus</w:t>
      </w:r>
      <w:proofErr w:type="spellEnd"/>
      <w:r w:rsidRPr="00F408B1">
        <w:rPr>
          <w:rFonts w:ascii="Times New Roman" w:eastAsiaTheme="minorEastAsia" w:hAnsi="Times New Roman" w:cs="Times New Roman"/>
          <w:i/>
          <w:sz w:val="24"/>
          <w:szCs w:val="24"/>
        </w:rPr>
        <w:t xml:space="preserve">, </w:t>
      </w:r>
      <w:r w:rsidRPr="00F408B1">
        <w:rPr>
          <w:rFonts w:ascii="Times New Roman" w:eastAsiaTheme="minorEastAsia" w:hAnsi="Times New Roman" w:cs="Times New Roman"/>
          <w:sz w:val="24"/>
          <w:szCs w:val="24"/>
        </w:rPr>
        <w:t>Gill 1863)</w:t>
      </w:r>
      <w:r w:rsidRPr="00F408B1">
        <w:rPr>
          <w:rFonts w:ascii="Times New Roman" w:eastAsiaTheme="minorEastAsia" w:hAnsi="Times New Roman" w:cs="Times New Roman"/>
          <w:i/>
          <w:sz w:val="24"/>
          <w:szCs w:val="24"/>
        </w:rPr>
        <w:t xml:space="preserve"> larvae.</w:t>
      </w:r>
      <w:r w:rsidRPr="00F408B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Fishes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, 2(1):</w:t>
      </w: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3.</w:t>
      </w:r>
    </w:p>
    <w:p w:rsidR="00F408B1" w:rsidRPr="00070845" w:rsidRDefault="00F408B1" w:rsidP="00F408B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s-MX"/>
        </w:rPr>
      </w:pP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García-Macías, J.A., F.A. Núñez-González, O. Chacón-Pineda, R.H. </w:t>
      </w:r>
      <w:proofErr w:type="spellStart"/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>Alaro</w:t>
      </w:r>
      <w:proofErr w:type="spellEnd"/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>-Rodríg</w:t>
      </w: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uez, &amp; M.R. Espinosa-Hernández. 2004.</w:t>
      </w: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</w:t>
      </w:r>
      <w:r w:rsidRPr="00CD190E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Calidad en canal y carne de trucha arcoíris </w:t>
      </w:r>
      <w:proofErr w:type="spellStart"/>
      <w:r w:rsidRPr="00CD190E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>Oncorhynchus</w:t>
      </w:r>
      <w:proofErr w:type="spellEnd"/>
      <w:r w:rsidRPr="00CD190E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 xml:space="preserve"> </w:t>
      </w:r>
      <w:proofErr w:type="spellStart"/>
      <w:r w:rsidRPr="00CD190E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>mykiss</w:t>
      </w:r>
      <w:proofErr w:type="spellEnd"/>
      <w:r w:rsidRPr="00CD190E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Richardson, producida en el noroeste del estado de Chihuahua.</w:t>
      </w: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Hidrobiológica, 14(1):</w:t>
      </w: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19-26.</w:t>
      </w:r>
    </w:p>
    <w:p w:rsidR="00F408B1" w:rsidRPr="00070845" w:rsidRDefault="00F408B1" w:rsidP="00F408B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s-MX"/>
        </w:rPr>
      </w:pP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>González, E.J.</w:t>
      </w: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M., O.A. Ramírez, E.H. Figueroa &amp; J.M. Loera. 2011.</w:t>
      </w: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</w:t>
      </w:r>
      <w:r w:rsidRPr="00E50FA1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Evaluación financiera de producción de </w:t>
      </w:r>
      <w:proofErr w:type="spellStart"/>
      <w:r w:rsidRPr="00E50FA1">
        <w:rPr>
          <w:rFonts w:ascii="Times New Roman" w:eastAsiaTheme="minorEastAsia" w:hAnsi="Times New Roman" w:cs="Times New Roman"/>
          <w:sz w:val="24"/>
          <w:szCs w:val="24"/>
          <w:lang w:val="es-MX"/>
        </w:rPr>
        <w:t>pejelagarto</w:t>
      </w:r>
      <w:proofErr w:type="spellEnd"/>
      <w:r w:rsidRPr="00E50FA1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(</w:t>
      </w:r>
      <w:proofErr w:type="spellStart"/>
      <w:r w:rsidRPr="00E50FA1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>Atractosteus</w:t>
      </w:r>
      <w:proofErr w:type="spellEnd"/>
      <w:r w:rsidRPr="00E50FA1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 xml:space="preserve"> </w:t>
      </w:r>
      <w:proofErr w:type="spellStart"/>
      <w:r w:rsidRPr="00E50FA1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>tropicus</w:t>
      </w:r>
      <w:proofErr w:type="spellEnd"/>
      <w:r w:rsidRPr="00E50FA1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): </w:t>
      </w:r>
      <w:proofErr w:type="gramStart"/>
      <w:r w:rsidRPr="00E50FA1">
        <w:rPr>
          <w:rFonts w:ascii="Times New Roman" w:eastAsiaTheme="minorEastAsia" w:hAnsi="Times New Roman" w:cs="Times New Roman"/>
          <w:sz w:val="24"/>
          <w:szCs w:val="24"/>
          <w:lang w:val="es-MX"/>
        </w:rPr>
        <w:t>caso cooperativa</w:t>
      </w:r>
      <w:proofErr w:type="gramEnd"/>
      <w:r w:rsidRPr="00E50FA1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de producción pesquera acuícola “El </w:t>
      </w:r>
      <w:proofErr w:type="spellStart"/>
      <w:r w:rsidRPr="00E50FA1">
        <w:rPr>
          <w:rFonts w:ascii="Times New Roman" w:eastAsiaTheme="minorEastAsia" w:hAnsi="Times New Roman" w:cs="Times New Roman"/>
          <w:sz w:val="24"/>
          <w:szCs w:val="24"/>
          <w:lang w:val="es-MX"/>
        </w:rPr>
        <w:t>Pejelagarto</w:t>
      </w:r>
      <w:proofErr w:type="spellEnd"/>
      <w:r w:rsidRPr="00E50FA1">
        <w:rPr>
          <w:rFonts w:ascii="Times New Roman" w:eastAsiaTheme="minorEastAsia" w:hAnsi="Times New Roman" w:cs="Times New Roman"/>
          <w:sz w:val="24"/>
          <w:szCs w:val="24"/>
          <w:lang w:val="es-MX"/>
        </w:rPr>
        <w:t>” S.C. de R.L.</w:t>
      </w: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Quinta Época, 15(29):</w:t>
      </w: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704-718.</w:t>
      </w:r>
    </w:p>
    <w:p w:rsidR="00F408B1" w:rsidRPr="00070845" w:rsidRDefault="00F408B1" w:rsidP="00F408B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s-MX"/>
        </w:rPr>
      </w:pP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lastRenderedPageBreak/>
        <w:t>Guerrero-Zarate, R., C.A. Álvarez-González, M.A. Olvera-Novoa, N. Perales-García, C.A. Frí</w:t>
      </w: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as-Quintana, R. Martínez-García &amp; W.J. Contreras-Sánchez. </w:t>
      </w:r>
      <w:r w:rsidRPr="00F408B1">
        <w:rPr>
          <w:rFonts w:ascii="Times New Roman" w:eastAsiaTheme="minorEastAsia" w:hAnsi="Times New Roman" w:cs="Times New Roman"/>
          <w:sz w:val="24"/>
          <w:szCs w:val="24"/>
        </w:rPr>
        <w:t xml:space="preserve">2013. Partial characterization of digestive proteases in tropical gar </w:t>
      </w:r>
      <w:proofErr w:type="spellStart"/>
      <w:r w:rsidRPr="00F408B1">
        <w:rPr>
          <w:rFonts w:ascii="Times New Roman" w:eastAsiaTheme="minorEastAsia" w:hAnsi="Times New Roman" w:cs="Times New Roman"/>
          <w:i/>
          <w:sz w:val="24"/>
          <w:szCs w:val="24"/>
        </w:rPr>
        <w:t>Atractosteus</w:t>
      </w:r>
      <w:proofErr w:type="spellEnd"/>
      <w:r w:rsidRPr="00F408B1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proofErr w:type="spellStart"/>
      <w:r w:rsidRPr="00F408B1">
        <w:rPr>
          <w:rFonts w:ascii="Times New Roman" w:eastAsiaTheme="minorEastAsia" w:hAnsi="Times New Roman" w:cs="Times New Roman"/>
          <w:i/>
          <w:sz w:val="24"/>
          <w:szCs w:val="24"/>
        </w:rPr>
        <w:t>tropicus</w:t>
      </w:r>
      <w:proofErr w:type="spellEnd"/>
      <w:r w:rsidRPr="00F408B1">
        <w:rPr>
          <w:rFonts w:ascii="Times New Roman" w:eastAsiaTheme="minorEastAsia" w:hAnsi="Times New Roman" w:cs="Times New Roman"/>
          <w:sz w:val="24"/>
          <w:szCs w:val="24"/>
        </w:rPr>
        <w:t xml:space="preserve"> juveniles.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Fish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Physiol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Biochem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., 40:</w:t>
      </w: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1021-1029.</w:t>
      </w:r>
    </w:p>
    <w:p w:rsidR="00F408B1" w:rsidRPr="00070845" w:rsidRDefault="00F408B1" w:rsidP="00F408B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s-MX"/>
        </w:rPr>
      </w:pP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>Huerta, O.M., C.A. Álvarez-González, G. Márquez-</w:t>
      </w:r>
      <w:proofErr w:type="spellStart"/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>Couturier</w:t>
      </w:r>
      <w:proofErr w:type="spellEnd"/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>, W.M. Contre</w:t>
      </w: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ras-Sánchez, R.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Civera-Cerecedo</w:t>
      </w:r>
      <w:proofErr w:type="spellEnd"/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&amp; </w:t>
      </w: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E.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Goytortúa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-Bores. 2009.</w:t>
      </w: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</w:t>
      </w:r>
      <w:r w:rsidRPr="00E50FA1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Sustitución total de aceite de pescado con aceite vegetal en larvas de </w:t>
      </w:r>
      <w:proofErr w:type="spellStart"/>
      <w:r w:rsidRPr="00E50FA1">
        <w:rPr>
          <w:rFonts w:ascii="Times New Roman" w:eastAsiaTheme="minorEastAsia" w:hAnsi="Times New Roman" w:cs="Times New Roman"/>
          <w:sz w:val="24"/>
          <w:szCs w:val="24"/>
          <w:lang w:val="es-MX"/>
        </w:rPr>
        <w:t>pejelagarto</w:t>
      </w:r>
      <w:proofErr w:type="spellEnd"/>
      <w:r w:rsidRPr="00E50FA1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070845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>Atractosteus</w:t>
      </w:r>
      <w:proofErr w:type="spellEnd"/>
      <w:r w:rsidRPr="00070845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 xml:space="preserve"> </w:t>
      </w:r>
      <w:proofErr w:type="spellStart"/>
      <w:r w:rsidRPr="00070845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>tropicus</w:t>
      </w:r>
      <w:proofErr w:type="spellEnd"/>
      <w:r w:rsidRPr="00070845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Kuxulkab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, 15(28):</w:t>
      </w: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51-58.</w:t>
      </w:r>
    </w:p>
    <w:p w:rsidR="00F408B1" w:rsidRPr="00070845" w:rsidRDefault="00F408B1" w:rsidP="00F408B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s-MX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Jesús-Contreras, R. 2016.</w:t>
      </w: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</w:t>
      </w:r>
      <w:r w:rsidRPr="00E50FA1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Evaluación de alimentos balanceados para el cultivo intensivo de juveniles de </w:t>
      </w:r>
      <w:proofErr w:type="spellStart"/>
      <w:r w:rsidRPr="00E50FA1">
        <w:rPr>
          <w:rFonts w:ascii="Times New Roman" w:eastAsiaTheme="minorEastAsia" w:hAnsi="Times New Roman" w:cs="Times New Roman"/>
          <w:sz w:val="24"/>
          <w:szCs w:val="24"/>
          <w:lang w:val="es-MX"/>
        </w:rPr>
        <w:t>pejelagarto</w:t>
      </w:r>
      <w:proofErr w:type="spellEnd"/>
      <w:r w:rsidRPr="00E50FA1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</w:t>
      </w:r>
      <w:r w:rsidRPr="00070845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>(</w:t>
      </w:r>
      <w:proofErr w:type="spellStart"/>
      <w:r w:rsidRPr="00070845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>Atractosteus</w:t>
      </w:r>
      <w:proofErr w:type="spellEnd"/>
      <w:r w:rsidRPr="00070845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 xml:space="preserve"> </w:t>
      </w:r>
      <w:proofErr w:type="spellStart"/>
      <w:r w:rsidRPr="00070845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>tropicus</w:t>
      </w:r>
      <w:proofErr w:type="spellEnd"/>
      <w:r w:rsidRPr="00070845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>).</w:t>
      </w: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Tesis de Maestría, División Académica de Ciencias </w:t>
      </w:r>
      <w:proofErr w:type="spellStart"/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>Biologicas</w:t>
      </w:r>
      <w:proofErr w:type="spellEnd"/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>, Universidad Juárez Autónoma Tabasco,</w:t>
      </w: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Villahermosa, Tabasco, 112 pp.</w:t>
      </w:r>
    </w:p>
    <w:p w:rsidR="00F408B1" w:rsidRPr="008D1D61" w:rsidRDefault="00F408B1" w:rsidP="00F408B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D1D61">
        <w:rPr>
          <w:rFonts w:ascii="Times New Roman" w:eastAsiaTheme="minorEastAsia" w:hAnsi="Times New Roman" w:cs="Times New Roman"/>
          <w:sz w:val="24"/>
          <w:szCs w:val="24"/>
        </w:rPr>
        <w:t>Kay, R.</w:t>
      </w:r>
      <w:r>
        <w:rPr>
          <w:rFonts w:ascii="Times New Roman" w:eastAsiaTheme="minorEastAsia" w:hAnsi="Times New Roman" w:cs="Times New Roman"/>
          <w:sz w:val="24"/>
          <w:szCs w:val="24"/>
        </w:rPr>
        <w:t>D., W.M. Edwards &amp; P.A. Duffy. 2012</w:t>
      </w:r>
      <w:r w:rsidRPr="00E50FA1">
        <w:rPr>
          <w:rFonts w:ascii="Times New Roman" w:eastAsiaTheme="minorEastAsia" w:hAnsi="Times New Roman" w:cs="Times New Roman"/>
          <w:sz w:val="24"/>
          <w:szCs w:val="24"/>
        </w:rPr>
        <w:t>. Farm Management</w:t>
      </w:r>
      <w:r w:rsidRPr="008D1D61">
        <w:rPr>
          <w:rFonts w:ascii="Times New Roman" w:eastAsiaTheme="minorEastAsia" w:hAnsi="Times New Roman" w:cs="Times New Roman"/>
          <w:sz w:val="24"/>
          <w:szCs w:val="24"/>
        </w:rPr>
        <w:t>. McGraw-Hill, New Yor</w:t>
      </w:r>
      <w:r>
        <w:rPr>
          <w:rFonts w:ascii="Times New Roman" w:eastAsiaTheme="minorEastAsia" w:hAnsi="Times New Roman" w:cs="Times New Roman"/>
          <w:sz w:val="24"/>
          <w:szCs w:val="24"/>
        </w:rPr>
        <w:t>k, New York, 466 pp.</w:t>
      </w:r>
    </w:p>
    <w:p w:rsidR="00F408B1" w:rsidRPr="00070845" w:rsidRDefault="00F408B1" w:rsidP="00F408B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s-MX"/>
        </w:rPr>
      </w:pP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>Márquez-</w:t>
      </w:r>
      <w:proofErr w:type="spellStart"/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>Couturier</w:t>
      </w:r>
      <w:proofErr w:type="spellEnd"/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G., C.J. Vázquez-</w:t>
      </w: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Navarrete, W. Contreras-Sánchez &amp; C.A. Álvarez-González. </w:t>
      </w: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>2013</w:t>
      </w: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.</w:t>
      </w: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</w:t>
      </w:r>
      <w:r w:rsidRPr="00E50FA1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Acuicultura Tropical Sustentable: Una estrategia para la producción y conservación del </w:t>
      </w:r>
      <w:proofErr w:type="spellStart"/>
      <w:r w:rsidRPr="00E50FA1">
        <w:rPr>
          <w:rFonts w:ascii="Times New Roman" w:eastAsiaTheme="minorEastAsia" w:hAnsi="Times New Roman" w:cs="Times New Roman"/>
          <w:sz w:val="24"/>
          <w:szCs w:val="24"/>
          <w:lang w:val="es-MX"/>
        </w:rPr>
        <w:t>pejelagarto</w:t>
      </w:r>
      <w:proofErr w:type="spellEnd"/>
      <w:r w:rsidRPr="00E50FA1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(</w:t>
      </w:r>
      <w:proofErr w:type="spellStart"/>
      <w:r w:rsidRPr="00070845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>Atractosteus</w:t>
      </w:r>
      <w:proofErr w:type="spellEnd"/>
      <w:r w:rsidRPr="00070845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 xml:space="preserve"> </w:t>
      </w:r>
      <w:proofErr w:type="spellStart"/>
      <w:r w:rsidRPr="00070845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>tropicus</w:t>
      </w:r>
      <w:proofErr w:type="spellEnd"/>
      <w:r w:rsidRPr="00E50FA1">
        <w:rPr>
          <w:rFonts w:ascii="Times New Roman" w:eastAsiaTheme="minorEastAsia" w:hAnsi="Times New Roman" w:cs="Times New Roman"/>
          <w:sz w:val="24"/>
          <w:szCs w:val="24"/>
          <w:lang w:val="es-MX"/>
        </w:rPr>
        <w:t>)</w:t>
      </w:r>
      <w:r w:rsidRPr="00070845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 xml:space="preserve"> </w:t>
      </w:r>
      <w:r w:rsidRPr="00E50FA1">
        <w:rPr>
          <w:rFonts w:ascii="Times New Roman" w:eastAsiaTheme="minorEastAsia" w:hAnsi="Times New Roman" w:cs="Times New Roman"/>
          <w:sz w:val="24"/>
          <w:szCs w:val="24"/>
          <w:lang w:val="es-MX"/>
        </w:rPr>
        <w:t>en Tabasco, México</w:t>
      </w:r>
      <w:r w:rsidRPr="00070845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>.</w:t>
      </w: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Universidad Juárez Autónoma de Tabasco</w:t>
      </w: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, Villahermosa, Tabasco, 87 pp.</w:t>
      </w:r>
    </w:p>
    <w:p w:rsidR="00F408B1" w:rsidRPr="00070845" w:rsidRDefault="00F408B1" w:rsidP="00F408B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s-MX"/>
        </w:rPr>
      </w:pP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>Márquez-</w:t>
      </w:r>
      <w:proofErr w:type="spellStart"/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>Couturier</w:t>
      </w:r>
      <w:proofErr w:type="spellEnd"/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>, G., C.A. Álvarez-González, W. Contreras-Sánchez, U. Hernández-Vidal, A.A. Hernández-</w:t>
      </w:r>
      <w:proofErr w:type="spellStart"/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>Franyutti</w:t>
      </w:r>
      <w:proofErr w:type="spellEnd"/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, R. Mendoza-Alfaro, C. Aguilera-González, T. García-Galano, R. </w:t>
      </w:r>
      <w:proofErr w:type="spellStart"/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>Civera-Cerecedo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&amp; E.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Goytortua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-Bores. 2006.</w:t>
      </w: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</w:t>
      </w:r>
      <w:r w:rsidRPr="00C60CA3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Avances en la alimentación y nutrición del </w:t>
      </w:r>
      <w:proofErr w:type="spellStart"/>
      <w:r w:rsidRPr="00C60CA3">
        <w:rPr>
          <w:rFonts w:ascii="Times New Roman" w:eastAsiaTheme="minorEastAsia" w:hAnsi="Times New Roman" w:cs="Times New Roman"/>
          <w:sz w:val="24"/>
          <w:szCs w:val="24"/>
          <w:lang w:val="es-MX"/>
        </w:rPr>
        <w:t>pejelagarto</w:t>
      </w:r>
      <w:proofErr w:type="spellEnd"/>
      <w:r w:rsidRPr="00070845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 xml:space="preserve"> </w:t>
      </w:r>
      <w:proofErr w:type="spellStart"/>
      <w:r w:rsidRPr="00070845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>Atractosteus</w:t>
      </w:r>
      <w:proofErr w:type="spellEnd"/>
      <w:r w:rsidRPr="00070845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 xml:space="preserve"> </w:t>
      </w:r>
      <w:proofErr w:type="spellStart"/>
      <w:r w:rsidRPr="00070845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>tropicus</w:t>
      </w:r>
      <w:proofErr w:type="spellEnd"/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. VIII </w:t>
      </w:r>
      <w:proofErr w:type="spellStart"/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>Simposium</w:t>
      </w:r>
      <w:proofErr w:type="spellEnd"/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Internacional de Nutrición Acuícola, Universidad Autónoma de Nuevo León,</w:t>
      </w: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Monterrey, Nuevo León: 446-523.</w:t>
      </w:r>
    </w:p>
    <w:p w:rsidR="00F408B1" w:rsidRPr="00070845" w:rsidRDefault="00F408B1" w:rsidP="00F408B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s-MX"/>
        </w:rPr>
      </w:pP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>Márquez-</w:t>
      </w:r>
      <w:proofErr w:type="spellStart"/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>Coutu</w:t>
      </w: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rier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, G.</w:t>
      </w: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&amp; C.J. Vázquez-Navarrete</w:t>
      </w: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. 2015.</w:t>
      </w: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</w:t>
      </w:r>
      <w:r w:rsidRPr="00C60CA3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Estado del arte de la biología y cultivo de </w:t>
      </w:r>
      <w:proofErr w:type="spellStart"/>
      <w:r w:rsidRPr="00C60CA3">
        <w:rPr>
          <w:rFonts w:ascii="Times New Roman" w:eastAsiaTheme="minorEastAsia" w:hAnsi="Times New Roman" w:cs="Times New Roman"/>
          <w:sz w:val="24"/>
          <w:szCs w:val="24"/>
          <w:lang w:val="es-MX"/>
        </w:rPr>
        <w:t>pejelagarto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(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>Atractosteus</w:t>
      </w:r>
      <w:proofErr w:type="spellEnd"/>
      <w:r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>tropicus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)</w:t>
      </w:r>
      <w:r w:rsidRPr="00070845">
        <w:rPr>
          <w:rFonts w:ascii="Times New Roman" w:eastAsiaTheme="minorEastAsia" w:hAnsi="Times New Roman" w:cs="Times New Roman"/>
          <w:i/>
          <w:sz w:val="24"/>
          <w:szCs w:val="24"/>
          <w:lang w:val="es-MX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Agroproductividad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, 8(3):</w:t>
      </w: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44-51.</w:t>
      </w:r>
    </w:p>
    <w:p w:rsidR="00F408B1" w:rsidRPr="00070845" w:rsidRDefault="00F408B1" w:rsidP="00F408B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s-MX"/>
        </w:rPr>
      </w:pPr>
      <w:r w:rsidRPr="00B04756">
        <w:rPr>
          <w:rFonts w:ascii="Times New Roman" w:eastAsiaTheme="minorEastAsia" w:hAnsi="Times New Roman" w:cs="Times New Roman"/>
          <w:sz w:val="24"/>
          <w:szCs w:val="24"/>
          <w:lang w:val="es-MX"/>
        </w:rPr>
        <w:t>Miller, R.R</w:t>
      </w: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., W.L.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Minckley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, S.M. Norris, &amp; M.H.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Gach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, 2009.</w:t>
      </w:r>
      <w:r w:rsidRPr="00B04756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</w:t>
      </w:r>
      <w:r w:rsidRPr="00C60CA3">
        <w:rPr>
          <w:rFonts w:ascii="Times New Roman" w:eastAsiaTheme="minorEastAsia" w:hAnsi="Times New Roman" w:cs="Times New Roman"/>
          <w:sz w:val="24"/>
          <w:szCs w:val="24"/>
          <w:lang w:val="es-MX"/>
        </w:rPr>
        <w:t>Peces dulceacuícolas de México.</w:t>
      </w:r>
      <w:r w:rsidRPr="00B04756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</w:t>
      </w: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>Comisión Nacional para el Conocimiento y Uso de la Biodiversidad, Sociedad Ictiológica Mexicana, A.C., El Colegio de la Frontera Sur, y Consejo de los Peces del Desierto, Ciudad de México, México.</w:t>
      </w: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245 pp.</w:t>
      </w:r>
    </w:p>
    <w:p w:rsidR="00F408B1" w:rsidRPr="008D1D61" w:rsidRDefault="00F408B1" w:rsidP="00F408B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>Moreira, I.</w:t>
      </w: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S., H.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Peres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, A.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Couto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, P. Enes</w:t>
      </w: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&amp; A. Olivia-Teles</w:t>
      </w: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. </w:t>
      </w:r>
      <w:r w:rsidRPr="00F408B1">
        <w:rPr>
          <w:rFonts w:ascii="Times New Roman" w:eastAsiaTheme="minorEastAsia" w:hAnsi="Times New Roman" w:cs="Times New Roman"/>
          <w:sz w:val="24"/>
          <w:szCs w:val="24"/>
        </w:rPr>
        <w:t xml:space="preserve">2008. </w:t>
      </w:r>
      <w:r w:rsidRPr="00C60CA3">
        <w:rPr>
          <w:rFonts w:ascii="Times New Roman" w:eastAsiaTheme="minorEastAsia" w:hAnsi="Times New Roman" w:cs="Times New Roman"/>
          <w:sz w:val="24"/>
          <w:szCs w:val="24"/>
        </w:rPr>
        <w:t xml:space="preserve">Temperature and dietary carbohydrate level effects on performance and metabolic </w:t>
      </w:r>
      <w:proofErr w:type="spellStart"/>
      <w:r w:rsidRPr="00C60CA3">
        <w:rPr>
          <w:rFonts w:ascii="Times New Roman" w:eastAsiaTheme="minorEastAsia" w:hAnsi="Times New Roman" w:cs="Times New Roman"/>
          <w:sz w:val="24"/>
          <w:szCs w:val="24"/>
        </w:rPr>
        <w:t>utilisation</w:t>
      </w:r>
      <w:proofErr w:type="spellEnd"/>
      <w:r w:rsidRPr="00C60CA3">
        <w:rPr>
          <w:rFonts w:ascii="Times New Roman" w:eastAsiaTheme="minorEastAsia" w:hAnsi="Times New Roman" w:cs="Times New Roman"/>
          <w:sz w:val="24"/>
          <w:szCs w:val="24"/>
        </w:rPr>
        <w:t xml:space="preserve"> of diets in European sea bass</w:t>
      </w:r>
      <w:r w:rsidRPr="008D1D61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C60CA3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 w:rsidRPr="008D1D61">
        <w:rPr>
          <w:rFonts w:ascii="Times New Roman" w:eastAsiaTheme="minorEastAsia" w:hAnsi="Times New Roman" w:cs="Times New Roman"/>
          <w:i/>
          <w:sz w:val="24"/>
          <w:szCs w:val="24"/>
        </w:rPr>
        <w:t>Dicentrarchus</w:t>
      </w:r>
      <w:proofErr w:type="spellEnd"/>
      <w:r w:rsidRPr="008D1D61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proofErr w:type="spellStart"/>
      <w:r w:rsidRPr="008D1D61">
        <w:rPr>
          <w:rFonts w:ascii="Times New Roman" w:eastAsiaTheme="minorEastAsia" w:hAnsi="Times New Roman" w:cs="Times New Roman"/>
          <w:i/>
          <w:sz w:val="24"/>
          <w:szCs w:val="24"/>
        </w:rPr>
        <w:t>labrax</w:t>
      </w:r>
      <w:proofErr w:type="spellEnd"/>
      <w:r w:rsidRPr="00C60CA3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8D1D61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C60CA3">
        <w:rPr>
          <w:rFonts w:ascii="Times New Roman" w:eastAsiaTheme="minorEastAsia" w:hAnsi="Times New Roman" w:cs="Times New Roman"/>
          <w:sz w:val="24"/>
          <w:szCs w:val="24"/>
        </w:rPr>
        <w:t>juveniles</w:t>
      </w:r>
      <w:r w:rsidRPr="008D1D61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Aquaculture, 274:</w:t>
      </w:r>
      <w:r w:rsidRPr="008D1D61">
        <w:rPr>
          <w:rFonts w:ascii="Times New Roman" w:eastAsiaTheme="minorEastAsia" w:hAnsi="Times New Roman" w:cs="Times New Roman"/>
          <w:sz w:val="24"/>
          <w:szCs w:val="24"/>
        </w:rPr>
        <w:t xml:space="preserve"> 153-160.</w:t>
      </w:r>
    </w:p>
    <w:p w:rsidR="00F408B1" w:rsidRDefault="00F408B1" w:rsidP="00F408B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408B1" w:rsidRDefault="00F408B1" w:rsidP="00F408B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408B1" w:rsidRDefault="00F408B1" w:rsidP="00F408B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F408B1">
        <w:rPr>
          <w:rFonts w:ascii="Times New Roman" w:eastAsiaTheme="minorEastAsia" w:hAnsi="Times New Roman" w:cs="Times New Roman"/>
          <w:sz w:val="24"/>
          <w:szCs w:val="24"/>
          <w:lang w:val="es-MX"/>
        </w:rPr>
        <w:lastRenderedPageBreak/>
        <w:t xml:space="preserve">Poot-López, G., J.M. Hernández, E. Gasca-Leyva. </w:t>
      </w:r>
      <w:r w:rsidRPr="003D2BCC">
        <w:rPr>
          <w:rFonts w:ascii="Times New Roman" w:eastAsiaTheme="minorEastAsia" w:hAnsi="Times New Roman" w:cs="Times New Roman"/>
          <w:sz w:val="24"/>
          <w:szCs w:val="24"/>
        </w:rPr>
        <w:t>20</w:t>
      </w:r>
      <w:r>
        <w:rPr>
          <w:rFonts w:ascii="Times New Roman" w:eastAsiaTheme="minorEastAsia" w:hAnsi="Times New Roman" w:cs="Times New Roman"/>
          <w:sz w:val="24"/>
          <w:szCs w:val="24"/>
        </w:rPr>
        <w:t>14. Analysis of ration size in N</w:t>
      </w:r>
      <w:r w:rsidRPr="003D2BCC">
        <w:rPr>
          <w:rFonts w:ascii="Times New Roman" w:eastAsiaTheme="minorEastAsia" w:hAnsi="Times New Roman" w:cs="Times New Roman"/>
          <w:sz w:val="24"/>
          <w:szCs w:val="24"/>
        </w:rPr>
        <w:t>ile tilapia production: economics and environm</w:t>
      </w:r>
      <w:r>
        <w:rPr>
          <w:rFonts w:ascii="Times New Roman" w:eastAsiaTheme="minorEastAsia" w:hAnsi="Times New Roman" w:cs="Times New Roman"/>
          <w:sz w:val="24"/>
          <w:szCs w:val="24"/>
        </w:rPr>
        <w:t>ental implications. Aquaculture 420-421:</w:t>
      </w:r>
      <w:r w:rsidRPr="003D2BCC">
        <w:rPr>
          <w:rFonts w:ascii="Times New Roman" w:eastAsiaTheme="minorEastAsia" w:hAnsi="Times New Roman" w:cs="Times New Roman"/>
          <w:sz w:val="24"/>
          <w:szCs w:val="24"/>
        </w:rPr>
        <w:t xml:space="preserve"> 198-205.</w:t>
      </w:r>
    </w:p>
    <w:p w:rsidR="00F408B1" w:rsidRPr="008D1D61" w:rsidRDefault="00F408B1" w:rsidP="00F408B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Vázquez-Navarrete, C.J. &amp; G. Márquez-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Couturier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. </w:t>
      </w:r>
      <w:r w:rsidRPr="00F408B1">
        <w:rPr>
          <w:rFonts w:ascii="Times New Roman" w:eastAsiaTheme="minorEastAsia" w:hAnsi="Times New Roman" w:cs="Times New Roman"/>
          <w:sz w:val="24"/>
          <w:szCs w:val="24"/>
        </w:rPr>
        <w:t xml:space="preserve">2010. </w:t>
      </w:r>
      <w:r w:rsidRPr="00C60CA3">
        <w:rPr>
          <w:rFonts w:ascii="Times New Roman" w:eastAsiaTheme="minorEastAsia" w:hAnsi="Times New Roman" w:cs="Times New Roman"/>
          <w:sz w:val="24"/>
          <w:szCs w:val="24"/>
        </w:rPr>
        <w:t>Characterization of the supply network of the tropical gar</w:t>
      </w:r>
      <w:r w:rsidRPr="008D1D61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C60CA3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 w:rsidRPr="008D1D61">
        <w:rPr>
          <w:rFonts w:ascii="Times New Roman" w:eastAsiaTheme="minorEastAsia" w:hAnsi="Times New Roman" w:cs="Times New Roman"/>
          <w:i/>
          <w:iCs/>
          <w:sz w:val="24"/>
          <w:szCs w:val="24"/>
        </w:rPr>
        <w:t>Atractosteus</w:t>
      </w:r>
      <w:proofErr w:type="spellEnd"/>
      <w:r w:rsidRPr="008D1D61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D1D61">
        <w:rPr>
          <w:rFonts w:ascii="Times New Roman" w:eastAsiaTheme="minorEastAsia" w:hAnsi="Times New Roman" w:cs="Times New Roman"/>
          <w:i/>
          <w:iCs/>
          <w:sz w:val="24"/>
          <w:szCs w:val="24"/>
        </w:rPr>
        <w:t>tropicus</w:t>
      </w:r>
      <w:proofErr w:type="spellEnd"/>
      <w:r w:rsidRPr="00C60CA3">
        <w:rPr>
          <w:rFonts w:ascii="Times New Roman" w:eastAsiaTheme="minorEastAsia" w:hAnsi="Times New Roman" w:cs="Times New Roman"/>
          <w:sz w:val="24"/>
          <w:szCs w:val="24"/>
        </w:rPr>
        <w:t>) in Tabasco, Mexico</w:t>
      </w:r>
      <w:r w:rsidRPr="008D1D61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  <w:r w:rsidRPr="008D1D61">
        <w:rPr>
          <w:rFonts w:ascii="Times New Roman" w:eastAsiaTheme="minorEastAsia" w:hAnsi="Times New Roman" w:cs="Times New Roman"/>
          <w:sz w:val="24"/>
          <w:szCs w:val="24"/>
        </w:rPr>
        <w:t xml:space="preserve"> International Network for </w:t>
      </w:r>
      <w:proofErr w:type="spellStart"/>
      <w:r w:rsidRPr="008D1D61">
        <w:rPr>
          <w:rFonts w:ascii="Times New Roman" w:eastAsiaTheme="minorEastAsia" w:hAnsi="Times New Roman" w:cs="Times New Roman"/>
          <w:sz w:val="24"/>
          <w:szCs w:val="24"/>
        </w:rPr>
        <w:t>Lepisosteid</w:t>
      </w:r>
      <w:proofErr w:type="spellEnd"/>
      <w:r w:rsidRPr="008D1D61">
        <w:rPr>
          <w:rFonts w:ascii="Times New Roman" w:eastAsiaTheme="minorEastAsia" w:hAnsi="Times New Roman" w:cs="Times New Roman"/>
          <w:sz w:val="24"/>
          <w:szCs w:val="24"/>
        </w:rPr>
        <w:t xml:space="preserve"> Research, Nicholls State University, Thibodaux, Louisiana, USA.</w:t>
      </w:r>
    </w:p>
    <w:p w:rsidR="00F408B1" w:rsidRPr="00070845" w:rsidRDefault="00F408B1" w:rsidP="00F408B1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s-MX"/>
        </w:rPr>
      </w:pPr>
      <w:proofErr w:type="spellStart"/>
      <w:r w:rsidRPr="008D1D61">
        <w:rPr>
          <w:rFonts w:ascii="Times New Roman" w:eastAsiaTheme="minorEastAsia" w:hAnsi="Times New Roman" w:cs="Times New Roman"/>
          <w:sz w:val="24"/>
          <w:szCs w:val="24"/>
        </w:rPr>
        <w:t>Yil</w:t>
      </w:r>
      <w:r>
        <w:rPr>
          <w:rFonts w:ascii="Times New Roman" w:eastAsiaTheme="minorEastAsia" w:hAnsi="Times New Roman" w:cs="Times New Roman"/>
          <w:sz w:val="24"/>
          <w:szCs w:val="24"/>
        </w:rPr>
        <w:t>dirim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, A.M., S. Richard, C. Lim &amp; H.K. Phillip. 2007.</w:t>
      </w:r>
      <w:r w:rsidRPr="008D1D6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60CA3">
        <w:rPr>
          <w:rFonts w:ascii="Times New Roman" w:eastAsiaTheme="minorEastAsia" w:hAnsi="Times New Roman" w:cs="Times New Roman"/>
          <w:sz w:val="24"/>
          <w:szCs w:val="24"/>
        </w:rPr>
        <w:t>Growth performance and proximate and fatty acid compositions of channel catfish,</w:t>
      </w:r>
      <w:r w:rsidRPr="008D1D61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proofErr w:type="spellStart"/>
      <w:r w:rsidRPr="008D1D61">
        <w:rPr>
          <w:rFonts w:ascii="Times New Roman" w:eastAsiaTheme="minorEastAsia" w:hAnsi="Times New Roman" w:cs="Times New Roman"/>
          <w:i/>
          <w:sz w:val="24"/>
          <w:szCs w:val="24"/>
        </w:rPr>
        <w:t>Ictalurus</w:t>
      </w:r>
      <w:proofErr w:type="spellEnd"/>
      <w:r w:rsidRPr="008D1D61">
        <w:rPr>
          <w:rFonts w:ascii="Times New Roman" w:eastAsiaTheme="minorEastAsia" w:hAnsi="Times New Roman" w:cs="Times New Roman"/>
          <w:i/>
          <w:sz w:val="24"/>
          <w:szCs w:val="24"/>
        </w:rPr>
        <w:t xml:space="preserve"> punctatus, </w:t>
      </w:r>
      <w:r w:rsidRPr="00C60CA3">
        <w:rPr>
          <w:rFonts w:ascii="Times New Roman" w:eastAsiaTheme="minorEastAsia" w:hAnsi="Times New Roman" w:cs="Times New Roman"/>
          <w:sz w:val="24"/>
          <w:szCs w:val="24"/>
        </w:rPr>
        <w:t>fed for different duration with a commercial diet supplemented with various levels of menhaden fish oil.</w:t>
      </w:r>
      <w:r w:rsidRPr="008D1D6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J.</w:t>
      </w: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</w:t>
      </w:r>
      <w:proofErr w:type="spellStart"/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>W</w:t>
      </w:r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orld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Aquacult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s-MX"/>
        </w:rPr>
        <w:t>. Soc., 38(4):</w:t>
      </w:r>
      <w:r w:rsidRPr="00070845">
        <w:rPr>
          <w:rFonts w:ascii="Times New Roman" w:eastAsiaTheme="minorEastAsia" w:hAnsi="Times New Roman" w:cs="Times New Roman"/>
          <w:sz w:val="24"/>
          <w:szCs w:val="24"/>
          <w:lang w:val="es-MX"/>
        </w:rPr>
        <w:t xml:space="preserve"> 461-474.</w:t>
      </w:r>
    </w:p>
    <w:p w:rsidR="0028176E" w:rsidRPr="006E423F" w:rsidRDefault="0028176E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28176E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:rsidR="004C60E0" w:rsidRPr="006E423F" w:rsidRDefault="004C60E0" w:rsidP="004C60E0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Figure 1. Mean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>growth w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eight (g ± SD) of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tropical gar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>juveniles cultivated with commercial diets.</w:t>
      </w: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4C60E0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6E423F">
        <w:drawing>
          <wp:inline distT="0" distB="0" distL="0" distR="0" wp14:anchorId="0747C72D" wp14:editId="67B0BDB8">
            <wp:extent cx="5010150" cy="341947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" t="1090" r="963" b="1018"/>
                    <a:stretch/>
                  </pic:blipFill>
                  <pic:spPr bwMode="auto">
                    <a:xfrm>
                      <a:off x="0" y="0"/>
                      <a:ext cx="501015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Figure 2. Mean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>growth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size (cm ± SD) of tropical gar juveniles cultivated with commercial diets</w:t>
      </w: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4C60E0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6E423F">
        <w:drawing>
          <wp:inline distT="0" distB="0" distL="0" distR="0" wp14:anchorId="68DE61A4" wp14:editId="3654AFF6">
            <wp:extent cx="4981575" cy="336232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" t="2181" r="1151" b="1563"/>
                    <a:stretch/>
                  </pic:blipFill>
                  <pic:spPr bwMode="auto">
                    <a:xfrm>
                      <a:off x="0" y="0"/>
                      <a:ext cx="49815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4C60E0">
      <w:pPr>
        <w:spacing w:after="0" w:line="480" w:lineRule="auto"/>
        <w:ind w:left="1416" w:hanging="141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sz w:val="24"/>
          <w:szCs w:val="24"/>
        </w:rPr>
        <w:lastRenderedPageBreak/>
        <w:t>Table 1. Muscle proximal co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>mposition of tropical gar fed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with two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>commercial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diets</w:t>
      </w:r>
    </w:p>
    <w:tbl>
      <w:tblPr>
        <w:tblStyle w:val="Tabladelista6concolores"/>
        <w:tblW w:w="0" w:type="auto"/>
        <w:tblInd w:w="-108" w:type="dxa"/>
        <w:tblLook w:val="04A0" w:firstRow="1" w:lastRow="0" w:firstColumn="1" w:lastColumn="0" w:noHBand="0" w:noVBand="1"/>
      </w:tblPr>
      <w:tblGrid>
        <w:gridCol w:w="2127"/>
        <w:gridCol w:w="1984"/>
        <w:gridCol w:w="1985"/>
        <w:gridCol w:w="1505"/>
      </w:tblGrid>
      <w:tr w:rsidR="004C60E0" w:rsidRPr="006E423F" w:rsidTr="00CA62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  <w:vAlign w:val="center"/>
          </w:tcPr>
          <w:p w:rsidR="004C60E0" w:rsidRPr="006E423F" w:rsidRDefault="004C60E0" w:rsidP="00CA6272">
            <w:pPr>
              <w:spacing w:line="48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Nutrients</w:t>
            </w:r>
          </w:p>
        </w:tc>
        <w:tc>
          <w:tcPr>
            <w:tcW w:w="5474" w:type="dxa"/>
            <w:gridSpan w:val="3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Comparation</w:t>
            </w:r>
            <w:proofErr w:type="spellEnd"/>
          </w:p>
          <w:p w:rsidR="004C60E0" w:rsidRPr="006E423F" w:rsidRDefault="004C60E0" w:rsidP="00CA6272">
            <w:pPr>
              <w:spacing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Initial                  Silver Cup®            Super®</w:t>
            </w:r>
          </w:p>
        </w:tc>
      </w:tr>
      <w:tr w:rsidR="004C60E0" w:rsidRPr="006E423F" w:rsidTr="00CA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Proteins (%)</w:t>
            </w:r>
          </w:p>
        </w:tc>
        <w:tc>
          <w:tcPr>
            <w:tcW w:w="1984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85.62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±</m:t>
              </m:r>
            </m:oMath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0.28</w:t>
            </w: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 xml:space="preserve">a </w:t>
            </w:r>
          </w:p>
        </w:tc>
        <w:tc>
          <w:tcPr>
            <w:tcW w:w="1985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65.8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±</m:t>
              </m:r>
            </m:oMath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2.26</w:t>
            </w: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505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75.5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±</m:t>
              </m:r>
            </m:oMath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0.20</w:t>
            </w: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  <w:tr w:rsidR="004C60E0" w:rsidRPr="006E423F" w:rsidTr="00CA6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Lipids (%)</w:t>
            </w:r>
          </w:p>
        </w:tc>
        <w:tc>
          <w:tcPr>
            <w:tcW w:w="1984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5.49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±</m:t>
              </m:r>
            </m:oMath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0.04</w:t>
            </w: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24.7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±</m:t>
              </m:r>
            </m:oMath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1.76</w:t>
            </w: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505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16.6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±</m:t>
              </m:r>
            </m:oMath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0.48</w:t>
            </w: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  <w:tr w:rsidR="004C60E0" w:rsidRPr="006E423F" w:rsidTr="00CA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Humidity (%)</w:t>
            </w:r>
          </w:p>
        </w:tc>
        <w:tc>
          <w:tcPr>
            <w:tcW w:w="1984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8.55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±</m:t>
              </m:r>
            </m:oMath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0.03</w:t>
            </w: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 xml:space="preserve">a </w:t>
            </w:r>
          </w:p>
        </w:tc>
        <w:tc>
          <w:tcPr>
            <w:tcW w:w="1985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1.2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±</m:t>
              </m:r>
            </m:oMath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0.54</w:t>
            </w: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505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9.4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±</m:t>
              </m:r>
            </m:oMath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1.41</w:t>
            </w: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4C60E0" w:rsidRPr="006E423F" w:rsidTr="00CA6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Ashes (%)</w:t>
            </w:r>
          </w:p>
        </w:tc>
        <w:tc>
          <w:tcPr>
            <w:tcW w:w="1984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4.65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±</m:t>
              </m:r>
            </m:oMath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0.07</w:t>
            </w: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3.4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±</m:t>
              </m:r>
            </m:oMath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0.12</w:t>
            </w: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</w:p>
        </w:tc>
        <w:tc>
          <w:tcPr>
            <w:tcW w:w="1505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4.0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±</m:t>
              </m:r>
            </m:oMath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0.07</w:t>
            </w: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</w:tr>
      <w:tr w:rsidR="004C60E0" w:rsidRPr="006E423F" w:rsidTr="00CA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Fibers (%)</w:t>
            </w:r>
          </w:p>
        </w:tc>
        <w:tc>
          <w:tcPr>
            <w:tcW w:w="1984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0.04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±</m:t>
              </m:r>
            </m:oMath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0.02</w:t>
            </w: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0.11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±</m:t>
              </m:r>
            </m:oMath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0.04</w:t>
            </w: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  <w:tc>
          <w:tcPr>
            <w:tcW w:w="1505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0.11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±</m:t>
              </m:r>
            </m:oMath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0.03</w:t>
            </w: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  <w:tr w:rsidR="004C60E0" w:rsidRPr="006E423F" w:rsidTr="00CA6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Energy (Kcal/g)</w:t>
            </w:r>
          </w:p>
        </w:tc>
        <w:tc>
          <w:tcPr>
            <w:tcW w:w="1984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5.03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±</m:t>
              </m:r>
            </m:oMath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0.007</w:t>
            </w: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c</w:t>
            </w: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5.54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±</m:t>
              </m:r>
            </m:oMath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0.048</w:t>
            </w: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b</w:t>
            </w:r>
          </w:p>
        </w:tc>
        <w:tc>
          <w:tcPr>
            <w:tcW w:w="1505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5.95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±</m:t>
              </m:r>
            </m:oMath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0.041</w:t>
            </w: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</w:p>
        </w:tc>
      </w:tr>
    </w:tbl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sz w:val="24"/>
          <w:szCs w:val="24"/>
        </w:rPr>
        <w:t>Unequal letters indicate significant differences (P&lt;0.05)</w:t>
      </w: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4C60E0">
      <w:pPr>
        <w:spacing w:after="0" w:line="480" w:lineRule="auto"/>
        <w:ind w:left="1416" w:hanging="141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sz w:val="24"/>
          <w:szCs w:val="24"/>
        </w:rPr>
        <w:lastRenderedPageBreak/>
        <w:t>Table 2. Initial investment required to produce 3,600 tropical gars</w:t>
      </w:r>
    </w:p>
    <w:tbl>
      <w:tblPr>
        <w:tblStyle w:val="Tabladelista6concolores1"/>
        <w:tblW w:w="0" w:type="auto"/>
        <w:tblInd w:w="-108" w:type="dxa"/>
        <w:tblLook w:val="04A0" w:firstRow="1" w:lastRow="0" w:firstColumn="1" w:lastColumn="0" w:noHBand="0" w:noVBand="1"/>
      </w:tblPr>
      <w:tblGrid>
        <w:gridCol w:w="3936"/>
        <w:gridCol w:w="283"/>
        <w:gridCol w:w="1701"/>
        <w:gridCol w:w="1701"/>
        <w:gridCol w:w="1418"/>
      </w:tblGrid>
      <w:tr w:rsidR="004C60E0" w:rsidRPr="006E423F" w:rsidTr="00CA62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gridSpan w:val="2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Input</w:t>
            </w:r>
          </w:p>
        </w:tc>
        <w:tc>
          <w:tcPr>
            <w:tcW w:w="1701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Unitary cost (USD)</w:t>
            </w:r>
          </w:p>
        </w:tc>
        <w:tc>
          <w:tcPr>
            <w:tcW w:w="1701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Quantity</w:t>
            </w:r>
          </w:p>
          <w:p w:rsidR="004C60E0" w:rsidRPr="006E423F" w:rsidRDefault="004C60E0" w:rsidP="00CA627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(units</w:t>
            </w: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Total cost (USD)</w:t>
            </w:r>
          </w:p>
        </w:tc>
      </w:tr>
      <w:tr w:rsidR="004C60E0" w:rsidRPr="006E423F" w:rsidTr="00CA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Water pump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121.51</w:t>
            </w:r>
          </w:p>
        </w:tc>
        <w:tc>
          <w:tcPr>
            <w:tcW w:w="1701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243.02</w:t>
            </w:r>
          </w:p>
        </w:tc>
      </w:tr>
      <w:tr w:rsidR="004C60E0" w:rsidRPr="006E423F" w:rsidTr="00CA6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Ground preparation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369.98</w:t>
            </w:r>
          </w:p>
        </w:tc>
        <w:tc>
          <w:tcPr>
            <w:tcW w:w="1701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369.98</w:t>
            </w:r>
          </w:p>
        </w:tc>
      </w:tr>
      <w:tr w:rsidR="004C60E0" w:rsidRPr="006E423F" w:rsidTr="00CA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Power plant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1,003.17</w:t>
            </w:r>
          </w:p>
        </w:tc>
        <w:tc>
          <w:tcPr>
            <w:tcW w:w="1701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1,003.17</w:t>
            </w:r>
          </w:p>
        </w:tc>
      </w:tr>
      <w:tr w:rsidR="004C60E0" w:rsidRPr="006E423F" w:rsidTr="00CA6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Well construction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475.69</w:t>
            </w:r>
          </w:p>
        </w:tc>
        <w:tc>
          <w:tcPr>
            <w:tcW w:w="1701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475.69</w:t>
            </w:r>
          </w:p>
        </w:tc>
      </w:tr>
      <w:tr w:rsidR="004C60E0" w:rsidRPr="006E423F" w:rsidTr="00CA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6E423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Geomembrane</w:t>
            </w:r>
            <w:proofErr w:type="spellEnd"/>
            <w:r w:rsidRPr="006E423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 xml:space="preserve"> pond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528.54</w:t>
            </w:r>
          </w:p>
        </w:tc>
        <w:tc>
          <w:tcPr>
            <w:tcW w:w="1701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3,171.24</w:t>
            </w:r>
          </w:p>
        </w:tc>
      </w:tr>
      <w:tr w:rsidR="004C60E0" w:rsidRPr="006E423F" w:rsidTr="00CA6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Po</w:t>
            </w:r>
            <w:r w:rsidRPr="006E423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nd materials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281.43</w:t>
            </w:r>
          </w:p>
        </w:tc>
        <w:tc>
          <w:tcPr>
            <w:tcW w:w="1701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1,688.57</w:t>
            </w:r>
          </w:p>
        </w:tc>
      </w:tr>
      <w:tr w:rsidR="004C60E0" w:rsidRPr="006E423F" w:rsidTr="00CA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Electrical installation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179.70</w:t>
            </w:r>
          </w:p>
        </w:tc>
        <w:tc>
          <w:tcPr>
            <w:tcW w:w="1701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179.70</w:t>
            </w:r>
          </w:p>
        </w:tc>
      </w:tr>
      <w:tr w:rsidR="004C60E0" w:rsidRPr="006E423F" w:rsidTr="00CA6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Water reservoir filters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52.85</w:t>
            </w:r>
          </w:p>
        </w:tc>
        <w:tc>
          <w:tcPr>
            <w:tcW w:w="1701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52.85</w:t>
            </w:r>
          </w:p>
        </w:tc>
      </w:tr>
      <w:tr w:rsidR="004C60E0" w:rsidRPr="006E423F" w:rsidTr="00CA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Land/m</w:t>
            </w:r>
            <w:r w:rsidRPr="006E423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12.68</w:t>
            </w:r>
          </w:p>
        </w:tc>
        <w:tc>
          <w:tcPr>
            <w:tcW w:w="1701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1418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6,342.49</w:t>
            </w:r>
          </w:p>
        </w:tc>
      </w:tr>
      <w:tr w:rsidR="004C60E0" w:rsidRPr="006E423F" w:rsidTr="00CA6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4C60E0" w:rsidRPr="006E423F" w:rsidRDefault="004C60E0" w:rsidP="00CA6272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13,526.73</w:t>
            </w:r>
          </w:p>
        </w:tc>
      </w:tr>
    </w:tbl>
    <w:p w:rsidR="004C60E0" w:rsidRPr="006E423F" w:rsidRDefault="004C60E0" w:rsidP="004C60E0"/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958AD" w:rsidRPr="006E423F" w:rsidRDefault="00E958AD" w:rsidP="00E958AD">
      <w:pPr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Table 3. </w:t>
      </w:r>
      <w:r w:rsidR="003553E3" w:rsidRPr="006E423F">
        <w:rPr>
          <w:rFonts w:ascii="Times New Roman" w:eastAsiaTheme="minorEastAsia" w:hAnsi="Times New Roman" w:cs="Times New Roman"/>
          <w:sz w:val="24"/>
          <w:szCs w:val="24"/>
        </w:rPr>
        <w:t>Production cost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calculated </w:t>
      </w:r>
      <w:r w:rsidR="003553E3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for producing 240 fish (120 fish/ </w:t>
      </w:r>
      <w:r w:rsidR="003553E3" w:rsidRPr="006E423F">
        <w:rPr>
          <w:rFonts w:ascii="Times New Roman" w:eastAsiaTheme="minorEastAsia" w:hAnsi="Times New Roman" w:cs="Times New Roman"/>
          <w:sz w:val="24"/>
          <w:szCs w:val="24"/>
        </w:rPr>
        <w:t>Silver Cup®</w:t>
      </w:r>
      <w:r w:rsidR="003553E3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and 120 fish/ </w:t>
      </w:r>
      <w:proofErr w:type="spellStart"/>
      <w:r w:rsidR="003553E3" w:rsidRPr="006E423F">
        <w:rPr>
          <w:rFonts w:ascii="Times New Roman" w:eastAsiaTheme="minorEastAsia" w:hAnsi="Times New Roman" w:cs="Times New Roman"/>
          <w:sz w:val="24"/>
          <w:szCs w:val="24"/>
        </w:rPr>
        <w:t>Súper</w:t>
      </w:r>
      <w:proofErr w:type="spellEnd"/>
      <w:r w:rsidR="003553E3" w:rsidRPr="006E423F">
        <w:rPr>
          <w:rFonts w:ascii="Times New Roman" w:eastAsiaTheme="minorEastAsia" w:hAnsi="Times New Roman" w:cs="Times New Roman"/>
          <w:sz w:val="24"/>
          <w:szCs w:val="24"/>
        </w:rPr>
        <w:t>®</w:t>
      </w:r>
      <w:r w:rsidR="003553E3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</w:p>
    <w:tbl>
      <w:tblPr>
        <w:tblStyle w:val="Tabladelista6concolores1"/>
        <w:tblW w:w="0" w:type="auto"/>
        <w:tblInd w:w="-108" w:type="dxa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E958AD" w:rsidRPr="006E423F" w:rsidTr="00CA62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auto"/>
            <w:vAlign w:val="center"/>
          </w:tcPr>
          <w:p w:rsidR="00E958AD" w:rsidRPr="006E423F" w:rsidRDefault="00E958AD" w:rsidP="00CA6272">
            <w:pPr>
              <w:spacing w:line="48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Input</w:t>
            </w:r>
          </w:p>
        </w:tc>
        <w:tc>
          <w:tcPr>
            <w:tcW w:w="6012" w:type="dxa"/>
            <w:gridSpan w:val="2"/>
            <w:shd w:val="clear" w:color="auto" w:fill="auto"/>
          </w:tcPr>
          <w:p w:rsidR="00E958AD" w:rsidRPr="006E423F" w:rsidRDefault="00E958AD" w:rsidP="00CA627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                       Cost (USD)</w:t>
            </w:r>
          </w:p>
          <w:p w:rsidR="00E958AD" w:rsidRPr="006E423F" w:rsidRDefault="00E958AD" w:rsidP="00CA6272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                        Silver Cup®                            Super®</w:t>
            </w:r>
          </w:p>
        </w:tc>
      </w:tr>
      <w:tr w:rsidR="00E958AD" w:rsidRPr="006E423F" w:rsidTr="00CA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auto"/>
          </w:tcPr>
          <w:p w:rsidR="00E958AD" w:rsidRPr="006E423F" w:rsidRDefault="00F408B1" w:rsidP="00CA6272">
            <w:pPr>
              <w:spacing w:line="480" w:lineRule="auto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Fry</w:t>
            </w:r>
            <w:proofErr w:type="spellEnd"/>
          </w:p>
        </w:tc>
        <w:tc>
          <w:tcPr>
            <w:tcW w:w="3006" w:type="dxa"/>
            <w:shd w:val="clear" w:color="auto" w:fill="auto"/>
          </w:tcPr>
          <w:p w:rsidR="00E958AD" w:rsidRPr="006E423F" w:rsidRDefault="00E958AD" w:rsidP="00CA6272">
            <w:pPr>
              <w:spacing w:line="480" w:lineRule="auto"/>
              <w:ind w:firstLine="708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158.56</w:t>
            </w:r>
          </w:p>
        </w:tc>
        <w:tc>
          <w:tcPr>
            <w:tcW w:w="3006" w:type="dxa"/>
            <w:shd w:val="clear" w:color="auto" w:fill="auto"/>
          </w:tcPr>
          <w:p w:rsidR="00E958AD" w:rsidRPr="006E423F" w:rsidRDefault="00E958AD" w:rsidP="00CA6272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158.56</w:t>
            </w:r>
          </w:p>
        </w:tc>
      </w:tr>
      <w:tr w:rsidR="00E958AD" w:rsidRPr="006E423F" w:rsidTr="00CA6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auto"/>
          </w:tcPr>
          <w:p w:rsidR="00E958AD" w:rsidRPr="006E423F" w:rsidRDefault="00F408B1" w:rsidP="00CA6272">
            <w:pPr>
              <w:spacing w:line="480" w:lineRule="auto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</w:pPr>
            <w:proofErr w:type="spellStart"/>
            <w:r w:rsidRPr="00E958AD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Feeding</w:t>
            </w:r>
            <w:proofErr w:type="spellEnd"/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3006" w:type="dxa"/>
            <w:shd w:val="clear" w:color="auto" w:fill="auto"/>
          </w:tcPr>
          <w:p w:rsidR="00E958AD" w:rsidRPr="006E423F" w:rsidRDefault="00E958AD" w:rsidP="00CA6272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111.80</w:t>
            </w:r>
          </w:p>
        </w:tc>
        <w:tc>
          <w:tcPr>
            <w:tcW w:w="3006" w:type="dxa"/>
            <w:shd w:val="clear" w:color="auto" w:fill="auto"/>
          </w:tcPr>
          <w:p w:rsidR="00E958AD" w:rsidRPr="006E423F" w:rsidRDefault="00E958AD" w:rsidP="00CA6272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91.83</w:t>
            </w:r>
          </w:p>
        </w:tc>
      </w:tr>
      <w:tr w:rsidR="00F408B1" w:rsidRPr="006E423F" w:rsidTr="00CA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auto"/>
          </w:tcPr>
          <w:p w:rsidR="00F408B1" w:rsidRPr="00E958AD" w:rsidRDefault="00F408B1" w:rsidP="00F408B1">
            <w:pPr>
              <w:spacing w:line="480" w:lineRule="auto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Energy</w:t>
            </w:r>
            <w:proofErr w:type="spellEnd"/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3006" w:type="dxa"/>
            <w:shd w:val="clear" w:color="auto" w:fill="auto"/>
          </w:tcPr>
          <w:p w:rsidR="00F408B1" w:rsidRPr="006E423F" w:rsidRDefault="00F408B1" w:rsidP="00F408B1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184.49</w:t>
            </w:r>
          </w:p>
        </w:tc>
        <w:tc>
          <w:tcPr>
            <w:tcW w:w="3006" w:type="dxa"/>
            <w:shd w:val="clear" w:color="auto" w:fill="auto"/>
          </w:tcPr>
          <w:p w:rsidR="00F408B1" w:rsidRPr="006E423F" w:rsidRDefault="00F408B1" w:rsidP="00F408B1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184.49</w:t>
            </w:r>
          </w:p>
        </w:tc>
      </w:tr>
      <w:tr w:rsidR="00F408B1" w:rsidRPr="006E423F" w:rsidTr="00CA6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auto"/>
          </w:tcPr>
          <w:p w:rsidR="00F408B1" w:rsidRPr="00E958AD" w:rsidRDefault="00F408B1" w:rsidP="00F408B1">
            <w:pPr>
              <w:spacing w:line="480" w:lineRule="auto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E958AD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Labor</w:t>
            </w: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L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3006" w:type="dxa"/>
            <w:shd w:val="clear" w:color="auto" w:fill="auto"/>
          </w:tcPr>
          <w:p w:rsidR="00F408B1" w:rsidRPr="006E423F" w:rsidRDefault="00F408B1" w:rsidP="00F408B1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888.39</w:t>
            </w:r>
          </w:p>
        </w:tc>
        <w:tc>
          <w:tcPr>
            <w:tcW w:w="3006" w:type="dxa"/>
            <w:shd w:val="clear" w:color="auto" w:fill="auto"/>
          </w:tcPr>
          <w:p w:rsidR="00F408B1" w:rsidRPr="006E423F" w:rsidRDefault="00F408B1" w:rsidP="00F408B1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888.39</w:t>
            </w:r>
          </w:p>
        </w:tc>
      </w:tr>
      <w:tr w:rsidR="00F408B1" w:rsidRPr="006E423F" w:rsidTr="00CA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auto"/>
          </w:tcPr>
          <w:p w:rsidR="00F408B1" w:rsidRPr="00E958AD" w:rsidRDefault="00F408B1" w:rsidP="00F408B1">
            <w:pPr>
              <w:spacing w:line="480" w:lineRule="auto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proofErr w:type="spellStart"/>
            <w:r w:rsidRPr="00E958AD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Veterinarians</w:t>
            </w:r>
            <w:proofErr w:type="spellEnd"/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3006" w:type="dxa"/>
            <w:shd w:val="clear" w:color="auto" w:fill="auto"/>
          </w:tcPr>
          <w:p w:rsidR="00F408B1" w:rsidRPr="006E423F" w:rsidRDefault="00F408B1" w:rsidP="00F408B1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47.57</w:t>
            </w:r>
          </w:p>
        </w:tc>
        <w:tc>
          <w:tcPr>
            <w:tcW w:w="3006" w:type="dxa"/>
            <w:shd w:val="clear" w:color="auto" w:fill="auto"/>
          </w:tcPr>
          <w:p w:rsidR="00F408B1" w:rsidRPr="006E423F" w:rsidRDefault="00F408B1" w:rsidP="00F408B1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47.57</w:t>
            </w:r>
          </w:p>
        </w:tc>
      </w:tr>
      <w:tr w:rsidR="00F408B1" w:rsidRPr="006E423F" w:rsidTr="00CA6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auto"/>
          </w:tcPr>
          <w:p w:rsidR="00F408B1" w:rsidRPr="00E958AD" w:rsidRDefault="00F408B1" w:rsidP="00F408B1">
            <w:pPr>
              <w:spacing w:line="480" w:lineRule="auto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E958AD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Total</w:t>
            </w: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 w:val="0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c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3006" w:type="dxa"/>
            <w:shd w:val="clear" w:color="auto" w:fill="auto"/>
          </w:tcPr>
          <w:p w:rsidR="00F408B1" w:rsidRPr="006E423F" w:rsidRDefault="00F408B1" w:rsidP="00F408B1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390.81</w:t>
            </w:r>
          </w:p>
        </w:tc>
        <w:tc>
          <w:tcPr>
            <w:tcW w:w="3006" w:type="dxa"/>
            <w:shd w:val="clear" w:color="auto" w:fill="auto"/>
          </w:tcPr>
          <w:p w:rsidR="00F408B1" w:rsidRPr="006E423F" w:rsidRDefault="00F408B1" w:rsidP="00F408B1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370.84</w:t>
            </w:r>
          </w:p>
        </w:tc>
      </w:tr>
    </w:tbl>
    <w:p w:rsidR="00E958AD" w:rsidRPr="006E423F" w:rsidRDefault="00E958AD" w:rsidP="00E958AD">
      <w:pPr>
        <w:rPr>
          <w:rFonts w:ascii="Times New Roman" w:hAnsi="Times New Roman" w:cs="Times New Roman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52106" w:rsidRDefault="00852106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852106" w:rsidRPr="006E423F" w:rsidRDefault="00852106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3553E3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sz w:val="24"/>
          <w:szCs w:val="24"/>
        </w:rPr>
        <w:lastRenderedPageBreak/>
        <w:t>Table 4. Costs and revenues estimated for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producing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>3,600 tropical gar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s/diet  </w:t>
      </w:r>
    </w:p>
    <w:tbl>
      <w:tblPr>
        <w:tblStyle w:val="Tabladelista6concolores1"/>
        <w:tblW w:w="0" w:type="auto"/>
        <w:tblInd w:w="-108" w:type="dxa"/>
        <w:tblLook w:val="04A0" w:firstRow="1" w:lastRow="0" w:firstColumn="1" w:lastColumn="0" w:noHBand="0" w:noVBand="1"/>
      </w:tblPr>
      <w:tblGrid>
        <w:gridCol w:w="2974"/>
        <w:gridCol w:w="2162"/>
        <w:gridCol w:w="2465"/>
      </w:tblGrid>
      <w:tr w:rsidR="003553E3" w:rsidRPr="006E423F" w:rsidTr="00CA62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</w:tcPr>
          <w:p w:rsidR="003553E3" w:rsidRPr="006E423F" w:rsidRDefault="003553E3" w:rsidP="00CA6272">
            <w:pPr>
              <w:spacing w:line="48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4627" w:type="dxa"/>
            <w:gridSpan w:val="2"/>
            <w:shd w:val="clear" w:color="auto" w:fill="auto"/>
          </w:tcPr>
          <w:p w:rsidR="003553E3" w:rsidRPr="006E423F" w:rsidRDefault="003553E3" w:rsidP="00CA627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Value (USD)</w:t>
            </w:r>
          </w:p>
          <w:p w:rsidR="003553E3" w:rsidRPr="006E423F" w:rsidRDefault="003553E3" w:rsidP="00CA627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     Silver Cup®                       Super®</w:t>
            </w:r>
          </w:p>
        </w:tc>
      </w:tr>
      <w:tr w:rsidR="003553E3" w:rsidRPr="006E423F" w:rsidTr="00CA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</w:tcPr>
          <w:p w:rsidR="003553E3" w:rsidRPr="006E423F" w:rsidRDefault="003553E3" w:rsidP="00CA6272">
            <w:pPr>
              <w:spacing w:line="480" w:lineRule="auto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Total cost</w:t>
            </w:r>
            <w:r w:rsidRPr="006E423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 xml:space="preserve"> (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Tc</m:t>
              </m:r>
            </m:oMath>
            <w:r w:rsidRPr="006E423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2162" w:type="dxa"/>
            <w:shd w:val="clear" w:color="auto" w:fill="auto"/>
          </w:tcPr>
          <w:p w:rsidR="003553E3" w:rsidRPr="006E423F" w:rsidRDefault="003553E3" w:rsidP="00CA6272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6,852.97</w:t>
            </w:r>
          </w:p>
        </w:tc>
        <w:tc>
          <w:tcPr>
            <w:tcW w:w="2465" w:type="dxa"/>
            <w:shd w:val="clear" w:color="auto" w:fill="auto"/>
          </w:tcPr>
          <w:p w:rsidR="003553E3" w:rsidRPr="006E423F" w:rsidRDefault="003553E3" w:rsidP="00CA6272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6,253.76</w:t>
            </w:r>
          </w:p>
        </w:tc>
      </w:tr>
      <w:tr w:rsidR="003553E3" w:rsidRPr="006E423F" w:rsidTr="00CA6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</w:tcPr>
          <w:p w:rsidR="003553E3" w:rsidRPr="006E423F" w:rsidRDefault="003553E3" w:rsidP="00CA6272">
            <w:pPr>
              <w:spacing w:line="480" w:lineRule="auto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Sales income (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T</m:t>
              </m:r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v</m:t>
              </m:r>
            </m:oMath>
            <w:r w:rsidRPr="006E423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2162" w:type="dxa"/>
            <w:shd w:val="clear" w:color="auto" w:fill="auto"/>
          </w:tcPr>
          <w:p w:rsidR="003553E3" w:rsidRPr="006E423F" w:rsidRDefault="003553E3" w:rsidP="00CA6272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13,571.53</w:t>
            </w:r>
          </w:p>
        </w:tc>
        <w:tc>
          <w:tcPr>
            <w:tcW w:w="2465" w:type="dxa"/>
            <w:shd w:val="clear" w:color="auto" w:fill="auto"/>
          </w:tcPr>
          <w:p w:rsidR="003553E3" w:rsidRPr="006E423F" w:rsidRDefault="003553E3" w:rsidP="00CA6272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12,509.41</w:t>
            </w:r>
          </w:p>
        </w:tc>
      </w:tr>
      <w:tr w:rsidR="003553E3" w:rsidRPr="006E423F" w:rsidTr="00CA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4" w:type="dxa"/>
            <w:shd w:val="clear" w:color="auto" w:fill="auto"/>
          </w:tcPr>
          <w:p w:rsidR="003553E3" w:rsidRPr="006E423F" w:rsidRDefault="003553E3" w:rsidP="00CA6272">
            <w:pPr>
              <w:spacing w:line="480" w:lineRule="auto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Profit</w:t>
            </w:r>
            <w:r w:rsidRPr="006E423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 xml:space="preserve"> (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U</m:t>
              </m:r>
            </m:oMath>
            <w:r w:rsidRPr="006E423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2162" w:type="dxa"/>
            <w:shd w:val="clear" w:color="auto" w:fill="auto"/>
          </w:tcPr>
          <w:p w:rsidR="003553E3" w:rsidRPr="006E423F" w:rsidRDefault="003553E3" w:rsidP="00CA6272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6,718.56</w:t>
            </w:r>
          </w:p>
        </w:tc>
        <w:tc>
          <w:tcPr>
            <w:tcW w:w="2465" w:type="dxa"/>
            <w:shd w:val="clear" w:color="auto" w:fill="auto"/>
          </w:tcPr>
          <w:p w:rsidR="003553E3" w:rsidRPr="006E423F" w:rsidRDefault="003553E3" w:rsidP="00CA6272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6,255.65</w:t>
            </w:r>
          </w:p>
        </w:tc>
      </w:tr>
    </w:tbl>
    <w:p w:rsidR="003553E3" w:rsidRPr="006E423F" w:rsidRDefault="003553E3" w:rsidP="003553E3">
      <w:pPr>
        <w:rPr>
          <w:rFonts w:ascii="Times New Roman" w:hAnsi="Times New Roman" w:cs="Times New Roman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3553E3">
      <w:pPr>
        <w:spacing w:after="0" w:line="48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423F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Table 5.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Economic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profitability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>for producing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3,600 tropical gar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>per diet</w:t>
      </w:r>
    </w:p>
    <w:tbl>
      <w:tblPr>
        <w:tblStyle w:val="Tabladelista6concolores1"/>
        <w:tblW w:w="0" w:type="auto"/>
        <w:tblInd w:w="-108" w:type="dxa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3553E3" w:rsidRPr="006E423F" w:rsidTr="00CA62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auto"/>
          </w:tcPr>
          <w:p w:rsidR="003553E3" w:rsidRPr="006E423F" w:rsidRDefault="003553E3" w:rsidP="00CA6272">
            <w:pPr>
              <w:spacing w:line="48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3006" w:type="dxa"/>
            <w:shd w:val="clear" w:color="auto" w:fill="auto"/>
          </w:tcPr>
          <w:p w:rsidR="003553E3" w:rsidRPr="006E423F" w:rsidRDefault="003553E3" w:rsidP="00CA6272">
            <w:pPr>
              <w:spacing w:line="48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Silver Cup®</w:t>
            </w:r>
          </w:p>
        </w:tc>
        <w:tc>
          <w:tcPr>
            <w:tcW w:w="3006" w:type="dxa"/>
            <w:shd w:val="clear" w:color="auto" w:fill="auto"/>
          </w:tcPr>
          <w:p w:rsidR="003553E3" w:rsidRPr="006E423F" w:rsidRDefault="003553E3" w:rsidP="00CA6272">
            <w:pPr>
              <w:spacing w:line="48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Super®</w:t>
            </w:r>
          </w:p>
        </w:tc>
      </w:tr>
      <w:tr w:rsidR="003553E3" w:rsidRPr="006E423F" w:rsidTr="00CA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auto"/>
          </w:tcPr>
          <w:p w:rsidR="003553E3" w:rsidRPr="006E423F" w:rsidRDefault="003553E3" w:rsidP="00CA6272">
            <w:pPr>
              <w:spacing w:line="480" w:lineRule="auto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NPV</m:t>
                </m:r>
              </m:oMath>
            </m:oMathPara>
          </w:p>
        </w:tc>
        <w:tc>
          <w:tcPr>
            <w:tcW w:w="3006" w:type="dxa"/>
            <w:shd w:val="clear" w:color="auto" w:fill="auto"/>
          </w:tcPr>
          <w:p w:rsidR="003553E3" w:rsidRPr="006E423F" w:rsidRDefault="003553E3" w:rsidP="00CA6272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55,332.63 </w:t>
            </w:r>
            <w:proofErr w:type="spellStart"/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USD</w:t>
            </w: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3006" w:type="dxa"/>
            <w:shd w:val="clear" w:color="auto" w:fill="auto"/>
          </w:tcPr>
          <w:p w:rsidR="003553E3" w:rsidRPr="006E423F" w:rsidRDefault="003553E3" w:rsidP="00CA6272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50,842.28 </w:t>
            </w:r>
            <w:proofErr w:type="spellStart"/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USD</w:t>
            </w: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  <w:proofErr w:type="spellEnd"/>
          </w:p>
        </w:tc>
      </w:tr>
      <w:tr w:rsidR="003553E3" w:rsidRPr="006E423F" w:rsidTr="00CA62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auto"/>
          </w:tcPr>
          <w:p w:rsidR="003553E3" w:rsidRPr="006E423F" w:rsidRDefault="003553E3" w:rsidP="00CA6272">
            <w:pPr>
              <w:spacing w:line="480" w:lineRule="auto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B/C</m:t>
                </m:r>
              </m:oMath>
            </m:oMathPara>
          </w:p>
        </w:tc>
        <w:tc>
          <w:tcPr>
            <w:tcW w:w="3006" w:type="dxa"/>
            <w:shd w:val="clear" w:color="auto" w:fill="auto"/>
          </w:tcPr>
          <w:p w:rsidR="003553E3" w:rsidRPr="006E423F" w:rsidRDefault="003553E3" w:rsidP="00CA6272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1.50 </w:t>
            </w:r>
            <w:proofErr w:type="spellStart"/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USD</w:t>
            </w: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3006" w:type="dxa"/>
            <w:shd w:val="clear" w:color="auto" w:fill="auto"/>
          </w:tcPr>
          <w:p w:rsidR="003553E3" w:rsidRPr="006E423F" w:rsidRDefault="003553E3" w:rsidP="00CA6272">
            <w:pPr>
              <w:spacing w:line="48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1.49 </w:t>
            </w:r>
            <w:proofErr w:type="spellStart"/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USD</w:t>
            </w: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val="en-US"/>
              </w:rPr>
              <w:t>a</w:t>
            </w:r>
            <w:proofErr w:type="spellEnd"/>
          </w:p>
        </w:tc>
      </w:tr>
      <w:tr w:rsidR="003553E3" w:rsidRPr="006E423F" w:rsidTr="00CA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  <w:shd w:val="clear" w:color="auto" w:fill="auto"/>
          </w:tcPr>
          <w:p w:rsidR="003553E3" w:rsidRPr="006E423F" w:rsidRDefault="003553E3" w:rsidP="00CA6272">
            <w:pPr>
              <w:spacing w:line="480" w:lineRule="auto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IRR</m:t>
                </m:r>
              </m:oMath>
            </m:oMathPara>
          </w:p>
        </w:tc>
        <w:tc>
          <w:tcPr>
            <w:tcW w:w="3006" w:type="dxa"/>
            <w:shd w:val="clear" w:color="auto" w:fill="auto"/>
          </w:tcPr>
          <w:p w:rsidR="003553E3" w:rsidRPr="006E423F" w:rsidRDefault="003553E3" w:rsidP="00CA6272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48.38%</w:t>
            </w:r>
          </w:p>
        </w:tc>
        <w:tc>
          <w:tcPr>
            <w:tcW w:w="3006" w:type="dxa"/>
            <w:shd w:val="clear" w:color="auto" w:fill="auto"/>
          </w:tcPr>
          <w:p w:rsidR="003553E3" w:rsidRPr="006E423F" w:rsidRDefault="003553E3" w:rsidP="00CA6272">
            <w:pPr>
              <w:spacing w:line="48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 w:rsidRPr="006E423F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47.03%</w:t>
            </w:r>
          </w:p>
        </w:tc>
      </w:tr>
    </w:tbl>
    <w:p w:rsidR="003553E3" w:rsidRPr="006E423F" w:rsidRDefault="003553E3" w:rsidP="003553E3">
      <w:pPr>
        <w:spacing w:after="0" w:line="480" w:lineRule="auto"/>
        <w:ind w:left="1416" w:hanging="141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6E423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a</w:t>
      </w:r>
      <w:r w:rsidR="006E423F" w:rsidRPr="006E423F">
        <w:rPr>
          <w:rFonts w:ascii="Times New Roman" w:eastAsiaTheme="minorEastAsia" w:hAnsi="Times New Roman" w:cs="Times New Roman"/>
          <w:sz w:val="24"/>
          <w:szCs w:val="24"/>
        </w:rPr>
        <w:t>Calculated</w:t>
      </w:r>
      <w:proofErr w:type="spellEnd"/>
      <w:r w:rsidR="006E423F"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on a 10% annual</w:t>
      </w:r>
      <w:r w:rsidRPr="006E423F">
        <w:rPr>
          <w:rFonts w:ascii="Times New Roman" w:eastAsiaTheme="minorEastAsia" w:hAnsi="Times New Roman" w:cs="Times New Roman"/>
          <w:sz w:val="24"/>
          <w:szCs w:val="24"/>
        </w:rPr>
        <w:t xml:space="preserve"> minimum acceptable rate of return (MARR)</w:t>
      </w: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553E3" w:rsidRPr="006E423F" w:rsidRDefault="003553E3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0" w:name="_GoBack"/>
      <w:bookmarkEnd w:id="0"/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C60E0" w:rsidRPr="006E423F" w:rsidRDefault="004C60E0" w:rsidP="00DA1A1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sectPr w:rsidR="004C60E0" w:rsidRPr="006E423F" w:rsidSect="00B04756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28"/>
    <w:rsid w:val="00036668"/>
    <w:rsid w:val="00061E1F"/>
    <w:rsid w:val="00070845"/>
    <w:rsid w:val="0011715A"/>
    <w:rsid w:val="00143291"/>
    <w:rsid w:val="001856BC"/>
    <w:rsid w:val="001E7F78"/>
    <w:rsid w:val="001F5BCD"/>
    <w:rsid w:val="0021369D"/>
    <w:rsid w:val="002332E8"/>
    <w:rsid w:val="0028176E"/>
    <w:rsid w:val="002B222A"/>
    <w:rsid w:val="00306505"/>
    <w:rsid w:val="00317FF6"/>
    <w:rsid w:val="0033662E"/>
    <w:rsid w:val="00342268"/>
    <w:rsid w:val="003448D8"/>
    <w:rsid w:val="003553E3"/>
    <w:rsid w:val="003C2FB8"/>
    <w:rsid w:val="003D2BCC"/>
    <w:rsid w:val="00420532"/>
    <w:rsid w:val="00433AC7"/>
    <w:rsid w:val="00436F87"/>
    <w:rsid w:val="004423C0"/>
    <w:rsid w:val="004739EC"/>
    <w:rsid w:val="004C60E0"/>
    <w:rsid w:val="004F445F"/>
    <w:rsid w:val="004F79A5"/>
    <w:rsid w:val="00546B09"/>
    <w:rsid w:val="00566EAF"/>
    <w:rsid w:val="005B3AF2"/>
    <w:rsid w:val="005B5DD0"/>
    <w:rsid w:val="005B73AA"/>
    <w:rsid w:val="005C297E"/>
    <w:rsid w:val="005E630A"/>
    <w:rsid w:val="00600690"/>
    <w:rsid w:val="006056FF"/>
    <w:rsid w:val="00612CF9"/>
    <w:rsid w:val="006E423F"/>
    <w:rsid w:val="00714C28"/>
    <w:rsid w:val="00767C9A"/>
    <w:rsid w:val="00785EEE"/>
    <w:rsid w:val="00786930"/>
    <w:rsid w:val="007B7C60"/>
    <w:rsid w:val="007E153B"/>
    <w:rsid w:val="007E517A"/>
    <w:rsid w:val="0084758F"/>
    <w:rsid w:val="00852106"/>
    <w:rsid w:val="008B2449"/>
    <w:rsid w:val="008B2457"/>
    <w:rsid w:val="008D1D61"/>
    <w:rsid w:val="008E4387"/>
    <w:rsid w:val="009022BB"/>
    <w:rsid w:val="00923D79"/>
    <w:rsid w:val="009505E0"/>
    <w:rsid w:val="009A07CD"/>
    <w:rsid w:val="009A1F3C"/>
    <w:rsid w:val="00A3614E"/>
    <w:rsid w:val="00A81B0C"/>
    <w:rsid w:val="00A916A0"/>
    <w:rsid w:val="00AB2D2D"/>
    <w:rsid w:val="00AD78BD"/>
    <w:rsid w:val="00B0253B"/>
    <w:rsid w:val="00B04756"/>
    <w:rsid w:val="00BC16B5"/>
    <w:rsid w:val="00C429A7"/>
    <w:rsid w:val="00C600CE"/>
    <w:rsid w:val="00C83F50"/>
    <w:rsid w:val="00CB5314"/>
    <w:rsid w:val="00CE4487"/>
    <w:rsid w:val="00D138BC"/>
    <w:rsid w:val="00D31961"/>
    <w:rsid w:val="00D423EB"/>
    <w:rsid w:val="00D5040F"/>
    <w:rsid w:val="00D70992"/>
    <w:rsid w:val="00D853B0"/>
    <w:rsid w:val="00DA1A19"/>
    <w:rsid w:val="00E64AEE"/>
    <w:rsid w:val="00E958AD"/>
    <w:rsid w:val="00EB0FEC"/>
    <w:rsid w:val="00EC07F0"/>
    <w:rsid w:val="00EE4088"/>
    <w:rsid w:val="00EF491C"/>
    <w:rsid w:val="00F408B1"/>
    <w:rsid w:val="00F6391D"/>
    <w:rsid w:val="00F65668"/>
    <w:rsid w:val="00FC3429"/>
    <w:rsid w:val="00FC627B"/>
    <w:rsid w:val="00FE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88459"/>
  <w15:chartTrackingRefBased/>
  <w15:docId w15:val="{129A94CA-CB53-4111-9E70-CC16BE94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C2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lista6concolores">
    <w:name w:val="List Table 6 Colorful"/>
    <w:basedOn w:val="Tablanormal"/>
    <w:uiPriority w:val="51"/>
    <w:rsid w:val="00714C28"/>
    <w:pPr>
      <w:spacing w:after="0" w:line="240" w:lineRule="auto"/>
    </w:pPr>
    <w:rPr>
      <w:color w:val="000000" w:themeColor="text1"/>
      <w:lang w:val="es-MX"/>
    </w:rPr>
    <w:tblPr>
      <w:tblStyleRowBandSize w:val="1"/>
      <w:tblStyleColBandSize w:val="1"/>
      <w:tblInd w:w="0" w:type="nil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6concolores1">
    <w:name w:val="Tabla de lista 6 con colores1"/>
    <w:basedOn w:val="Tablanormal"/>
    <w:uiPriority w:val="51"/>
    <w:rsid w:val="00714C28"/>
    <w:pPr>
      <w:spacing w:after="0" w:line="240" w:lineRule="auto"/>
    </w:pPr>
    <w:rPr>
      <w:color w:val="000000" w:themeColor="text1"/>
      <w:lang w:val="es-MX"/>
    </w:rPr>
    <w:tblPr>
      <w:tblStyleRowBandSize w:val="1"/>
      <w:tblStyleColBandSize w:val="1"/>
      <w:tblInd w:w="0" w:type="nil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6concolores11">
    <w:name w:val="Tabla de lista 6 con colores11"/>
    <w:basedOn w:val="Tablanormal"/>
    <w:uiPriority w:val="51"/>
    <w:rsid w:val="00714C28"/>
    <w:pPr>
      <w:spacing w:after="0" w:line="240" w:lineRule="auto"/>
    </w:pPr>
    <w:rPr>
      <w:color w:val="000000" w:themeColor="text1"/>
      <w:lang w:val="es-MX"/>
    </w:rPr>
    <w:tblPr>
      <w:tblStyleRowBandSize w:val="1"/>
      <w:tblStyleColBandSize w:val="1"/>
      <w:tblInd w:w="0" w:type="nil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5C297E"/>
    <w:rPr>
      <w:color w:val="808080"/>
    </w:rPr>
  </w:style>
  <w:style w:type="paragraph" w:styleId="Textoindependiente3">
    <w:name w:val="Body Text 3"/>
    <w:basedOn w:val="Normal"/>
    <w:link w:val="Textoindependiente3Car"/>
    <w:semiHidden/>
    <w:rsid w:val="008B24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8B2449"/>
    <w:rPr>
      <w:rFonts w:ascii="Times New Roman" w:eastAsia="Times New Roman" w:hAnsi="Times New Roman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7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18</Pages>
  <Words>4160</Words>
  <Characters>23714</Characters>
  <Application>Microsoft Office Word</Application>
  <DocSecurity>0</DocSecurity>
  <Lines>197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martinez garcia</dc:creator>
  <cp:keywords/>
  <dc:description/>
  <cp:lastModifiedBy>rafael martinez garcia</cp:lastModifiedBy>
  <cp:revision>7</cp:revision>
  <dcterms:created xsi:type="dcterms:W3CDTF">2018-10-01T18:43:00Z</dcterms:created>
  <dcterms:modified xsi:type="dcterms:W3CDTF">2018-10-01T22:32:00Z</dcterms:modified>
</cp:coreProperties>
</file>